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EE5" w:rsidRDefault="004D1461">
      <w:pPr>
        <w:pStyle w:val="En-ttedetabledesmatires"/>
        <w:numPr>
          <w:ilvl w:val="0"/>
          <w:numId w:val="1"/>
        </w:numPr>
        <w:ind w:left="431" w:hanging="431"/>
      </w:pPr>
      <w:r>
        <w:rPr>
          <w:noProof/>
          <w:lang w:eastAsia="fr-FR"/>
        </w:rPr>
        <mc:AlternateContent>
          <mc:Choice Requires="wps">
            <w:drawing>
              <wp:anchor distT="19050" distB="22860" distL="19050" distR="19050" simplePos="0" relativeHeight="3" behindDoc="0" locked="0" layoutInCell="0" allowOverlap="1" wp14:anchorId="1F71A2E8">
                <wp:simplePos x="0" y="0"/>
                <wp:positionH relativeFrom="margin">
                  <wp:posOffset>-661670</wp:posOffset>
                </wp:positionH>
                <wp:positionV relativeFrom="page">
                  <wp:posOffset>990600</wp:posOffset>
                </wp:positionV>
                <wp:extent cx="7125480" cy="5372100"/>
                <wp:effectExtent l="19050" t="19050" r="18415" b="19050"/>
                <wp:wrapNone/>
                <wp:docPr id="1" name="Text Box 6"/>
                <wp:cNvGraphicFramePr/>
                <a:graphic xmlns:a="http://schemas.openxmlformats.org/drawingml/2006/main">
                  <a:graphicData uri="http://schemas.microsoft.com/office/word/2010/wordprocessingShape">
                    <wps:wsp>
                      <wps:cNvSpPr/>
                      <wps:spPr>
                        <a:xfrm>
                          <a:off x="0" y="0"/>
                          <a:ext cx="7125480" cy="5372100"/>
                        </a:xfrm>
                        <a:prstGeom prst="rect">
                          <a:avLst/>
                        </a:prstGeom>
                        <a:solidFill>
                          <a:srgbClr val="54849A"/>
                        </a:solidFill>
                        <a:ln cap="rnd">
                          <a:solidFill>
                            <a:srgbClr val="FFFFFF"/>
                          </a:solidFill>
                          <a:round/>
                        </a:ln>
                      </wps:spPr>
                      <wps:style>
                        <a:lnRef idx="3">
                          <a:schemeClr val="lt1"/>
                        </a:lnRef>
                        <a:fillRef idx="1">
                          <a:schemeClr val="accent5"/>
                        </a:fillRef>
                        <a:effectRef idx="1">
                          <a:schemeClr val="accent5"/>
                        </a:effectRef>
                        <a:fontRef idx="minor"/>
                      </wps:style>
                      <wps:txbx>
                        <w:txbxContent>
                          <w:sdt>
                            <w:sdtPr>
                              <w:id w:val="-2061236695"/>
                              <w:docPartObj>
                                <w:docPartGallery w:val="Cover Pages"/>
                                <w:docPartUnique/>
                              </w:docPartObj>
                            </w:sdtPr>
                            <w:sdtEndPr/>
                            <w:sdtContent>
                              <w:p w:rsidR="006B6EE5" w:rsidRDefault="004D1461">
                                <w:pPr>
                                  <w:pStyle w:val="Contenudecadre"/>
                                  <w:jc w:val="center"/>
                                  <w:rPr>
                                    <w:smallCaps/>
                                    <w:color w:val="FFFFFF" w:themeColor="background1"/>
                                    <w:sz w:val="28"/>
                                    <w:szCs w:val="28"/>
                                  </w:rPr>
                                </w:pPr>
                                <w:r>
                                  <w:rPr>
                                    <w:smallCaps/>
                                    <w:color w:val="FFFFFF" w:themeColor="background1"/>
                                    <w:sz w:val="28"/>
                                    <w:szCs w:val="28"/>
                                  </w:rPr>
                                  <w:t>Marché public de service</w:t>
                                </w:r>
                              </w:p>
                              <w:p w:rsidR="006B6EE5" w:rsidRDefault="006B6EE5">
                                <w:pPr>
                                  <w:pStyle w:val="Contenudecadre"/>
                                  <w:jc w:val="center"/>
                                  <w:rPr>
                                    <w:color w:val="FFFFFF"/>
                                  </w:rPr>
                                </w:pPr>
                              </w:p>
                              <w:p w:rsidR="006B6EE5" w:rsidRDefault="004D1461">
                                <w:pPr>
                                  <w:pStyle w:val="Titre"/>
                                  <w:jc w:val="center"/>
                                  <w:rPr>
                                    <w:color w:val="FFFFFF" w:themeColor="background1"/>
                                    <w:sz w:val="56"/>
                                    <w:szCs w:val="56"/>
                                  </w:rPr>
                                </w:pPr>
                                <w:r>
                                  <w:rPr>
                                    <w:color w:val="FFFFFF" w:themeColor="background1"/>
                                    <w:sz w:val="56"/>
                                    <w:szCs w:val="56"/>
                                  </w:rPr>
                                  <w:t>Cahier des Clauses Techniques Particulières (C.C.T.P.)</w:t>
                                </w:r>
                              </w:p>
                              <w:p w:rsidR="006B6EE5" w:rsidRDefault="006B6EE5">
                                <w:pPr>
                                  <w:pStyle w:val="Contenudecadre"/>
                                  <w:rPr>
                                    <w:color w:val="FFFFFF"/>
                                  </w:rPr>
                                </w:pPr>
                              </w:p>
                              <w:p w:rsidR="009E2667" w:rsidRDefault="004D1461">
                                <w:pPr>
                                  <w:pStyle w:val="Contenudecadre"/>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Annexe 3</w:t>
                                </w:r>
                                <w:r>
                                  <w:rPr>
                                    <w:rFonts w:ascii="Calibri" w:eastAsiaTheme="majorEastAsia" w:hAnsi="Calibri" w:cs="Calibri"/>
                                    <w:color w:val="FFFFFF" w:themeColor="background1"/>
                                    <w:spacing w:val="-20"/>
                                    <w:sz w:val="56"/>
                                    <w:szCs w:val="56"/>
                                  </w:rPr>
                                  <w:t> </w:t>
                                </w:r>
                                <w:r>
                                  <w:rPr>
                                    <w:rFonts w:ascii="Marianne Light" w:eastAsiaTheme="majorEastAsia" w:hAnsi="Marianne Light" w:cstheme="majorBidi"/>
                                    <w:color w:val="FFFFFF" w:themeColor="background1"/>
                                    <w:spacing w:val="-20"/>
                                    <w:sz w:val="56"/>
                                    <w:szCs w:val="56"/>
                                  </w:rPr>
                                  <w:t>: Gammes et fréquences minimums de maintenance préventive.</w:t>
                                </w:r>
                              </w:p>
                              <w:p w:rsidR="009E2667" w:rsidRDefault="009E2667">
                                <w:pPr>
                                  <w:pStyle w:val="Contenudecadre"/>
                                  <w:rPr>
                                    <w:rFonts w:ascii="Marianne Light" w:eastAsiaTheme="majorEastAsia" w:hAnsi="Marianne Light" w:cstheme="majorBidi"/>
                                    <w:color w:val="FFFFFF" w:themeColor="background1"/>
                                    <w:spacing w:val="-20"/>
                                    <w:sz w:val="56"/>
                                    <w:szCs w:val="56"/>
                                  </w:rPr>
                                </w:pPr>
                              </w:p>
                              <w:p w:rsidR="009E2667" w:rsidRDefault="009E2667" w:rsidP="009E2667">
                                <w:pPr>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Lot 2</w:t>
                                </w:r>
                                <w:r>
                                  <w:rPr>
                                    <w:rFonts w:ascii="Calibri" w:eastAsiaTheme="majorEastAsia" w:hAnsi="Calibri" w:cs="Calibri"/>
                                    <w:color w:val="FFFFFF" w:themeColor="background1"/>
                                    <w:spacing w:val="-20"/>
                                    <w:sz w:val="56"/>
                                    <w:szCs w:val="56"/>
                                  </w:rPr>
                                  <w:t> </w:t>
                                </w:r>
                                <w:r>
                                  <w:rPr>
                                    <w:rFonts w:ascii="Marianne Light" w:eastAsiaTheme="majorEastAsia" w:hAnsi="Marianne Light" w:cstheme="majorBidi"/>
                                    <w:color w:val="FFFFFF" w:themeColor="background1"/>
                                    <w:spacing w:val="-20"/>
                                    <w:sz w:val="56"/>
                                    <w:szCs w:val="56"/>
                                  </w:rPr>
                                  <w:t>: Bassin de Valence et bassin de La Valbonne</w:t>
                                </w:r>
                              </w:p>
                              <w:p w:rsidR="006B6EE5" w:rsidRDefault="00692835">
                                <w:pPr>
                                  <w:pStyle w:val="Contenudecadre"/>
                                  <w:rPr>
                                    <w:rFonts w:ascii="Marianne Light" w:eastAsiaTheme="majorEastAsia" w:hAnsi="Marianne Light" w:cstheme="majorBidi"/>
                                    <w:color w:val="FFFFFF" w:themeColor="background1"/>
                                    <w:spacing w:val="-20"/>
                                    <w:sz w:val="56"/>
                                    <w:szCs w:val="56"/>
                                  </w:rPr>
                                </w:pPr>
                              </w:p>
                            </w:sdtContent>
                          </w:sdt>
                        </w:txbxContent>
                      </wps:txbx>
                      <wps:bodyPr wrap="square" anchor="t" upright="1">
                        <a:noAutofit/>
                      </wps:bodyPr>
                    </wps:wsp>
                  </a:graphicData>
                </a:graphic>
                <wp14:sizeRelV relativeFrom="margin">
                  <wp14:pctHeight>0</wp14:pctHeight>
                </wp14:sizeRelV>
              </wp:anchor>
            </w:drawing>
          </mc:Choice>
          <mc:Fallback>
            <w:pict>
              <v:rect w14:anchorId="1F71A2E8" id="Text Box 6" o:spid="_x0000_s1026" style="position:absolute;left:0;text-align:left;margin-left:-52.1pt;margin-top:78pt;width:561.05pt;height:423pt;z-index:3;visibility:visible;mso-wrap-style:square;mso-height-percent:0;mso-wrap-distance-left:1.5pt;mso-wrap-distance-top:1.5pt;mso-wrap-distance-right:1.5pt;mso-wrap-distance-bottom:1.8pt;mso-position-horizontal:absolute;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" o:allowincell="f" fillcolor="#54849a" strokecolor="white" strokeweight="2.25pt">
                <v:stroke joinstyle="round" endcap="round"/>
                <v:textbox>
                  <w:txbxContent>
                    <w:sdt>
                      <w:sdtPr>
                        <w:id w:val="-2061236695"/>
                        <w:docPartObj>
                          <w:docPartGallery w:val="Cover Pages"/>
                          <w:docPartUnique/>
                        </w:docPartObj>
                      </w:sdtPr>
                      <w:sdtEndPr/>
                      <w:sdtContent>
                        <w:p w:rsidR="006B6EE5" w:rsidRDefault="004D1461">
                          <w:pPr>
                            <w:pStyle w:val="Contenudecadre"/>
                            <w:jc w:val="center"/>
                            <w:rPr>
                              <w:smallCaps/>
                              <w:color w:val="FFFFFF" w:themeColor="background1"/>
                              <w:sz w:val="28"/>
                              <w:szCs w:val="28"/>
                            </w:rPr>
                          </w:pPr>
                          <w:r>
                            <w:rPr>
                              <w:smallCaps/>
                              <w:color w:val="FFFFFF" w:themeColor="background1"/>
                              <w:sz w:val="28"/>
                              <w:szCs w:val="28"/>
                            </w:rPr>
                            <w:t>Marché public de service</w:t>
                          </w:r>
                        </w:p>
                        <w:p w:rsidR="006B6EE5" w:rsidRDefault="006B6EE5">
                          <w:pPr>
                            <w:pStyle w:val="Contenudecadre"/>
                            <w:jc w:val="center"/>
                            <w:rPr>
                              <w:color w:val="FFFFFF"/>
                            </w:rPr>
                          </w:pPr>
                        </w:p>
                        <w:p w:rsidR="006B6EE5" w:rsidRDefault="004D1461">
                          <w:pPr>
                            <w:pStyle w:val="Titre"/>
                            <w:jc w:val="center"/>
                            <w:rPr>
                              <w:color w:val="FFFFFF" w:themeColor="background1"/>
                              <w:sz w:val="56"/>
                              <w:szCs w:val="56"/>
                            </w:rPr>
                          </w:pPr>
                          <w:r>
                            <w:rPr>
                              <w:color w:val="FFFFFF" w:themeColor="background1"/>
                              <w:sz w:val="56"/>
                              <w:szCs w:val="56"/>
                            </w:rPr>
                            <w:t>Cahier des Clauses Techniques Particulières (C.C.T.P.)</w:t>
                          </w:r>
                        </w:p>
                        <w:p w:rsidR="006B6EE5" w:rsidRDefault="006B6EE5">
                          <w:pPr>
                            <w:pStyle w:val="Contenudecadre"/>
                            <w:rPr>
                              <w:color w:val="FFFFFF"/>
                            </w:rPr>
                          </w:pPr>
                        </w:p>
                        <w:p w:rsidR="009E2667" w:rsidRDefault="004D1461">
                          <w:pPr>
                            <w:pStyle w:val="Contenudecadre"/>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Annexe 3</w:t>
                          </w:r>
                          <w:r>
                            <w:rPr>
                              <w:rFonts w:ascii="Calibri" w:eastAsiaTheme="majorEastAsia" w:hAnsi="Calibri" w:cs="Calibri"/>
                              <w:color w:val="FFFFFF" w:themeColor="background1"/>
                              <w:spacing w:val="-20"/>
                              <w:sz w:val="56"/>
                              <w:szCs w:val="56"/>
                            </w:rPr>
                            <w:t> </w:t>
                          </w:r>
                          <w:r>
                            <w:rPr>
                              <w:rFonts w:ascii="Marianne Light" w:eastAsiaTheme="majorEastAsia" w:hAnsi="Marianne Light" w:cstheme="majorBidi"/>
                              <w:color w:val="FFFFFF" w:themeColor="background1"/>
                              <w:spacing w:val="-20"/>
                              <w:sz w:val="56"/>
                              <w:szCs w:val="56"/>
                            </w:rPr>
                            <w:t>: Gammes et fréquences minimums de maintenance préventive.</w:t>
                          </w:r>
                        </w:p>
                        <w:p w:rsidR="009E2667" w:rsidRDefault="009E2667">
                          <w:pPr>
                            <w:pStyle w:val="Contenudecadre"/>
                            <w:rPr>
                              <w:rFonts w:ascii="Marianne Light" w:eastAsiaTheme="majorEastAsia" w:hAnsi="Marianne Light" w:cstheme="majorBidi"/>
                              <w:color w:val="FFFFFF" w:themeColor="background1"/>
                              <w:spacing w:val="-20"/>
                              <w:sz w:val="56"/>
                              <w:szCs w:val="56"/>
                            </w:rPr>
                          </w:pPr>
                        </w:p>
                        <w:p w:rsidR="009E2667" w:rsidRDefault="009E2667" w:rsidP="009E2667">
                          <w:pPr>
                            <w:rPr>
                              <w:rFonts w:ascii="Marianne Light" w:eastAsiaTheme="majorEastAsia" w:hAnsi="Marianne Light" w:cstheme="majorBidi"/>
                              <w:color w:val="FFFFFF" w:themeColor="background1"/>
                              <w:spacing w:val="-20"/>
                              <w:sz w:val="56"/>
                              <w:szCs w:val="56"/>
                            </w:rPr>
                          </w:pPr>
                          <w:r>
                            <w:rPr>
                              <w:rFonts w:ascii="Marianne Light" w:eastAsiaTheme="majorEastAsia" w:hAnsi="Marianne Light" w:cstheme="majorBidi"/>
                              <w:color w:val="FFFFFF" w:themeColor="background1"/>
                              <w:spacing w:val="-20"/>
                              <w:sz w:val="56"/>
                              <w:szCs w:val="56"/>
                            </w:rPr>
                            <w:t>Lot 2</w:t>
                          </w:r>
                          <w:r>
                            <w:rPr>
                              <w:rFonts w:ascii="Calibri" w:eastAsiaTheme="majorEastAsia" w:hAnsi="Calibri" w:cs="Calibri"/>
                              <w:color w:val="FFFFFF" w:themeColor="background1"/>
                              <w:spacing w:val="-20"/>
                              <w:sz w:val="56"/>
                              <w:szCs w:val="56"/>
                            </w:rPr>
                            <w:t> </w:t>
                          </w:r>
                          <w:r>
                            <w:rPr>
                              <w:rFonts w:ascii="Marianne Light" w:eastAsiaTheme="majorEastAsia" w:hAnsi="Marianne Light" w:cstheme="majorBidi"/>
                              <w:color w:val="FFFFFF" w:themeColor="background1"/>
                              <w:spacing w:val="-20"/>
                              <w:sz w:val="56"/>
                              <w:szCs w:val="56"/>
                            </w:rPr>
                            <w:t>: Bassin de Valence et bassin de La Valbonne</w:t>
                          </w:r>
                        </w:p>
                        <w:p w:rsidR="006B6EE5" w:rsidRDefault="009E2667">
                          <w:pPr>
                            <w:pStyle w:val="Contenudecadre"/>
                            <w:rPr>
                              <w:rFonts w:ascii="Marianne Light" w:eastAsiaTheme="majorEastAsia" w:hAnsi="Marianne Light" w:cstheme="majorBidi"/>
                              <w:color w:val="FFFFFF" w:themeColor="background1"/>
                              <w:spacing w:val="-20"/>
                              <w:sz w:val="56"/>
                              <w:szCs w:val="56"/>
                            </w:rPr>
                          </w:pPr>
                        </w:p>
                      </w:sdtContent>
                    </w:sdt>
                  </w:txbxContent>
                </v:textbox>
                <w10:wrap anchorx="margin" anchory="page"/>
              </v:rect>
            </w:pict>
          </mc:Fallback>
        </mc:AlternateContent>
      </w: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Pr>
        <w:rPr>
          <w:rFonts w:eastAsiaTheme="majorEastAsia"/>
        </w:rPr>
      </w:pPr>
    </w:p>
    <w:p w:rsidR="006B6EE5" w:rsidRDefault="006B6EE5"/>
    <w:p w:rsidR="006B6EE5" w:rsidRDefault="006B6EE5"/>
    <w:p w:rsidR="006B6EE5" w:rsidRDefault="006B6EE5"/>
    <w:p w:rsidR="006B6EE5" w:rsidRDefault="006B6EE5"/>
    <w:p w:rsidR="006B6EE5" w:rsidRDefault="006B6EE5"/>
    <w:p w:rsidR="006B6EE5" w:rsidRDefault="006B6EE5"/>
    <w:p w:rsidR="006B6EE5" w:rsidRDefault="006B6EE5"/>
    <w:p w:rsidR="006B6EE5" w:rsidRDefault="006B6EE5"/>
    <w:p w:rsidR="006B6EE5" w:rsidRDefault="006B6EE5">
      <w:bookmarkStart w:id="0" w:name="_GoBack"/>
      <w:bookmarkEnd w:id="0"/>
    </w:p>
    <w:p w:rsidR="006B6EE5" w:rsidRDefault="006B6EE5"/>
    <w:p w:rsidR="006B6EE5" w:rsidRDefault="006B6EE5">
      <w:pPr>
        <w:jc w:val="left"/>
      </w:pPr>
    </w:p>
    <w:p w:rsidR="006B6EE5" w:rsidRDefault="006B6EE5">
      <w:pPr>
        <w:sectPr w:rsidR="006B6EE5">
          <w:headerReference w:type="default" r:id="rId12"/>
          <w:footerReference w:type="default" r:id="rId13"/>
          <w:pgSz w:w="11906" w:h="16838"/>
          <w:pgMar w:top="1417" w:right="1417" w:bottom="1417" w:left="1417" w:header="708" w:footer="708" w:gutter="0"/>
          <w:pgNumType w:start="0"/>
          <w:cols w:space="720"/>
          <w:formProt w:val="0"/>
          <w:docGrid w:linePitch="360"/>
        </w:sectPr>
      </w:pPr>
    </w:p>
    <w:p w:rsidR="006B6EE5" w:rsidRDefault="004D1461">
      <w:r>
        <w:lastRenderedPageBreak/>
        <w:t>[….]</w:t>
      </w:r>
    </w:p>
    <w:p w:rsidR="006B6EE5" w:rsidRDefault="0024233F">
      <w:r>
        <w:t>Les réseaux eaux usées, eaux pluviales, les gouttières + descentes eaux pluviales doivent être nettoyés à une hauteur de 50% minimum par an.</w:t>
      </w:r>
    </w:p>
    <w:p w:rsidR="0024233F" w:rsidRDefault="0024233F">
      <w:r>
        <w:t>Y compris les matériels associés (crapaudines, grille de retenue, etc…)</w:t>
      </w:r>
    </w:p>
    <w:p w:rsidR="0024233F" w:rsidRDefault="0024233F">
      <w:r>
        <w:t xml:space="preserve">Les périodicités </w:t>
      </w:r>
      <w:r w:rsidR="00FA6138">
        <w:t>pour les séparateurs, bacs à graisses, fosse septiques,</w:t>
      </w:r>
      <w:r w:rsidR="00982CE4">
        <w:t xml:space="preserve"> ouvrages de décantation (avec ou sans dégrilleur)</w:t>
      </w:r>
      <w:r w:rsidR="00FA6138">
        <w:t xml:space="preserve"> postes de relevage, puits filtrants,</w:t>
      </w:r>
      <w:r w:rsidR="00982CE4">
        <w:t xml:space="preserve"> bac neutraliseur d’acide,</w:t>
      </w:r>
      <w:r w:rsidR="00FA6138">
        <w:t xml:space="preserve"> débourbeurs et pompes de relevage sont inscrites dans l</w:t>
      </w:r>
      <w:r w:rsidR="00FA6138">
        <w:rPr>
          <w:rFonts w:ascii="Calibri" w:hAnsi="Calibri" w:cs="Calibri"/>
        </w:rPr>
        <w:t>’</w:t>
      </w:r>
      <w:r w:rsidR="00FA6138">
        <w:t>annexe 2 en face de chaque appareil.</w:t>
      </w:r>
    </w:p>
    <w:p w:rsidR="001270BC" w:rsidRDefault="001270BC" w:rsidP="001270BC">
      <w:pPr>
        <w:spacing w:after="0" w:line="240" w:lineRule="auto"/>
      </w:pPr>
      <w:r>
        <w:t>Une fois par an</w:t>
      </w:r>
      <w:r>
        <w:rPr>
          <w:rFonts w:ascii="Calibri" w:hAnsi="Calibri" w:cs="Calibri"/>
        </w:rPr>
        <w:t> </w:t>
      </w:r>
      <w:r>
        <w:t>:</w:t>
      </w:r>
    </w:p>
    <w:p w:rsidR="001270BC" w:rsidRDefault="001270BC" w:rsidP="001270BC">
      <w:pPr>
        <w:spacing w:after="0" w:line="240" w:lineRule="auto"/>
      </w:pPr>
      <w:r>
        <w:tab/>
      </w:r>
      <w:proofErr w:type="gramStart"/>
      <w:r>
        <w:t>nettoyage</w:t>
      </w:r>
      <w:proofErr w:type="gramEnd"/>
      <w:r>
        <w:t xml:space="preserve"> complet de tous les appareils listés en annexe 2,</w:t>
      </w:r>
    </w:p>
    <w:p w:rsidR="001270BC" w:rsidRDefault="001270BC" w:rsidP="001270BC">
      <w:pPr>
        <w:spacing w:after="0" w:line="240" w:lineRule="auto"/>
      </w:pPr>
      <w:r>
        <w:tab/>
      </w:r>
      <w:proofErr w:type="gramStart"/>
      <w:r>
        <w:t>vérifier</w:t>
      </w:r>
      <w:proofErr w:type="gramEnd"/>
      <w:r>
        <w:t xml:space="preserve"> que les poires, alarmes et systèmes associés fonctionnent,</w:t>
      </w:r>
    </w:p>
    <w:p w:rsidR="001270BC" w:rsidRDefault="001270BC" w:rsidP="001270BC">
      <w:pPr>
        <w:spacing w:after="0" w:line="240" w:lineRule="auto"/>
      </w:pPr>
      <w:r>
        <w:tab/>
      </w:r>
      <w:proofErr w:type="gramStart"/>
      <w:r>
        <w:t>s’assurer</w:t>
      </w:r>
      <w:proofErr w:type="gramEnd"/>
      <w:r>
        <w:t xml:space="preserve"> du bon état de la fosse,</w:t>
      </w:r>
    </w:p>
    <w:p w:rsidR="001270BC" w:rsidRDefault="001270BC" w:rsidP="001270BC">
      <w:pPr>
        <w:spacing w:after="0" w:line="240" w:lineRule="auto"/>
      </w:pPr>
      <w:r>
        <w:tab/>
      </w:r>
      <w:proofErr w:type="gramStart"/>
      <w:r>
        <w:t>nettoyage</w:t>
      </w:r>
      <w:proofErr w:type="gramEnd"/>
      <w:r>
        <w:t xml:space="preserve"> ou changement des filtres si besoin est.</w:t>
      </w:r>
    </w:p>
    <w:p w:rsidR="001270BC" w:rsidRDefault="001270BC"/>
    <w:p w:rsidR="00982CE4" w:rsidRDefault="00982CE4" w:rsidP="00982CE4">
      <w:pPr>
        <w:jc w:val="center"/>
      </w:pPr>
      <w:r>
        <w:t>___________________________________________</w:t>
      </w:r>
    </w:p>
    <w:p w:rsidR="00982CE4" w:rsidRPr="00323B10" w:rsidRDefault="00982CE4" w:rsidP="00982CE4">
      <w:pPr>
        <w:rPr>
          <w:szCs w:val="20"/>
        </w:rPr>
      </w:pPr>
      <w:r w:rsidRPr="00323B10">
        <w:rPr>
          <w:szCs w:val="20"/>
        </w:rPr>
        <w:t xml:space="preserve">Le titulaire du marché devra effectuer l’entretien courant du poste de refoulement </w:t>
      </w:r>
      <w:r>
        <w:rPr>
          <w:szCs w:val="20"/>
        </w:rPr>
        <w:t xml:space="preserve">du site de LA VALBONNE </w:t>
      </w:r>
      <w:r w:rsidRPr="00323B10">
        <w:rPr>
          <w:szCs w:val="20"/>
        </w:rPr>
        <w:t>comprenant des passages hebdomadaires, mensuels, annuels tels que décrits ci-dessous</w:t>
      </w:r>
      <w:r w:rsidRPr="00323B10">
        <w:rPr>
          <w:rFonts w:ascii="Calibri" w:hAnsi="Calibri" w:cs="Calibri"/>
          <w:szCs w:val="20"/>
        </w:rPr>
        <w:t> </w:t>
      </w:r>
      <w:r w:rsidRPr="00323B10">
        <w:rPr>
          <w:szCs w:val="20"/>
        </w:rPr>
        <w:t>:</w:t>
      </w:r>
    </w:p>
    <w:p w:rsidR="00982CE4" w:rsidRPr="00323B10" w:rsidRDefault="00982CE4" w:rsidP="00982CE4">
      <w:pPr>
        <w:rPr>
          <w:szCs w:val="20"/>
        </w:rPr>
      </w:pPr>
      <w:r w:rsidRPr="00323B10">
        <w:rPr>
          <w:szCs w:val="20"/>
        </w:rPr>
        <w:t>Un cahier sera mis en place par le titulaire. Il y sera mentionné, la date, le type de passage, les observations éve</w:t>
      </w:r>
      <w:r>
        <w:rPr>
          <w:szCs w:val="20"/>
        </w:rPr>
        <w:t>ntuelles et les suites données.</w:t>
      </w:r>
    </w:p>
    <w:p w:rsidR="00982CE4" w:rsidRPr="00323B10" w:rsidRDefault="00982CE4" w:rsidP="00982CE4">
      <w:pPr>
        <w:numPr>
          <w:ilvl w:val="0"/>
          <w:numId w:val="3"/>
        </w:numPr>
        <w:suppressAutoHyphens w:val="0"/>
        <w:spacing w:line="276" w:lineRule="auto"/>
        <w:rPr>
          <w:szCs w:val="20"/>
        </w:rPr>
      </w:pPr>
      <w:r w:rsidRPr="00323B10">
        <w:rPr>
          <w:szCs w:val="20"/>
          <w:u w:val="single"/>
        </w:rPr>
        <w:t>Passage hebdomadaire</w:t>
      </w:r>
      <w:r w:rsidRPr="00323B10">
        <w:rPr>
          <w:rFonts w:ascii="Calibri" w:hAnsi="Calibri" w:cs="Calibri"/>
          <w:szCs w:val="20"/>
        </w:rPr>
        <w:t> </w:t>
      </w:r>
      <w:r w:rsidRPr="00323B10">
        <w:rPr>
          <w:szCs w:val="20"/>
        </w:rPr>
        <w:t>:</w:t>
      </w:r>
    </w:p>
    <w:p w:rsidR="00982CE4" w:rsidRPr="00323B10" w:rsidRDefault="00982CE4" w:rsidP="00982CE4">
      <w:pPr>
        <w:numPr>
          <w:ilvl w:val="1"/>
          <w:numId w:val="3"/>
        </w:numPr>
        <w:suppressAutoHyphens w:val="0"/>
        <w:spacing w:line="276" w:lineRule="auto"/>
        <w:rPr>
          <w:szCs w:val="20"/>
        </w:rPr>
      </w:pPr>
      <w:r w:rsidRPr="00323B10">
        <w:rPr>
          <w:szCs w:val="20"/>
        </w:rPr>
        <w:t>Pompes eaux usées</w:t>
      </w:r>
      <w:r>
        <w:rPr>
          <w:szCs w:val="20"/>
        </w:rPr>
        <w:t xml:space="preserve"> </w:t>
      </w:r>
      <w:r w:rsidRPr="00323B10">
        <w:rPr>
          <w:szCs w:val="20"/>
        </w:rPr>
        <w:t>(station de refoulement/poste de relevage)</w:t>
      </w:r>
    </w:p>
    <w:p w:rsidR="00982CE4" w:rsidRPr="00323B10" w:rsidRDefault="00982CE4" w:rsidP="00982CE4">
      <w:pPr>
        <w:numPr>
          <w:ilvl w:val="2"/>
          <w:numId w:val="3"/>
        </w:numPr>
        <w:suppressAutoHyphens w:val="0"/>
        <w:spacing w:line="276" w:lineRule="auto"/>
        <w:rPr>
          <w:szCs w:val="20"/>
        </w:rPr>
      </w:pPr>
      <w:r w:rsidRPr="00323B10">
        <w:rPr>
          <w:szCs w:val="20"/>
        </w:rPr>
        <w:t>Marche / arrêt – comparaison des temps de fonctionnement des deux pompes et des débits délivrés – vérification de la moyenne du nombre de démarrages par heure</w:t>
      </w:r>
    </w:p>
    <w:p w:rsidR="00982CE4" w:rsidRPr="00323B10" w:rsidRDefault="00982CE4" w:rsidP="00982CE4">
      <w:pPr>
        <w:numPr>
          <w:ilvl w:val="1"/>
          <w:numId w:val="3"/>
        </w:numPr>
        <w:suppressAutoHyphens w:val="0"/>
        <w:spacing w:line="276" w:lineRule="auto"/>
        <w:rPr>
          <w:szCs w:val="20"/>
        </w:rPr>
      </w:pPr>
      <w:r w:rsidRPr="00323B10">
        <w:rPr>
          <w:szCs w:val="20"/>
        </w:rPr>
        <w:t>Pompes eaux pluviales</w:t>
      </w:r>
    </w:p>
    <w:p w:rsidR="00982CE4" w:rsidRPr="00323B10" w:rsidRDefault="00982CE4" w:rsidP="00982CE4">
      <w:pPr>
        <w:numPr>
          <w:ilvl w:val="2"/>
          <w:numId w:val="3"/>
        </w:numPr>
        <w:suppressAutoHyphens w:val="0"/>
        <w:spacing w:line="276" w:lineRule="auto"/>
        <w:rPr>
          <w:szCs w:val="20"/>
        </w:rPr>
      </w:pPr>
      <w:r w:rsidRPr="00323B10">
        <w:rPr>
          <w:szCs w:val="20"/>
        </w:rPr>
        <w:t>Marche / arrêt – comparaison des temps de fonctionnement des deux pompes et des débits délivrés – vérification de la moyenne du nombre de démarrages par heure</w:t>
      </w:r>
    </w:p>
    <w:p w:rsidR="00982CE4" w:rsidRPr="00323B10" w:rsidRDefault="00982CE4" w:rsidP="00982CE4">
      <w:pPr>
        <w:numPr>
          <w:ilvl w:val="1"/>
          <w:numId w:val="3"/>
        </w:numPr>
        <w:suppressAutoHyphens w:val="0"/>
        <w:spacing w:line="276" w:lineRule="auto"/>
        <w:rPr>
          <w:szCs w:val="20"/>
        </w:rPr>
      </w:pPr>
      <w:r w:rsidRPr="00323B10">
        <w:rPr>
          <w:szCs w:val="20"/>
        </w:rPr>
        <w:t>Agitateur</w:t>
      </w:r>
    </w:p>
    <w:p w:rsidR="00982CE4" w:rsidRPr="00323B10" w:rsidRDefault="00982CE4" w:rsidP="00982CE4">
      <w:pPr>
        <w:numPr>
          <w:ilvl w:val="2"/>
          <w:numId w:val="3"/>
        </w:numPr>
        <w:suppressAutoHyphens w:val="0"/>
        <w:spacing w:line="276" w:lineRule="auto"/>
        <w:rPr>
          <w:szCs w:val="20"/>
        </w:rPr>
      </w:pPr>
      <w:r w:rsidRPr="00323B10">
        <w:rPr>
          <w:szCs w:val="20"/>
        </w:rPr>
        <w:t>Marche / arrêt – vérification de la moyenne du nombre de démarrages par heure</w:t>
      </w:r>
    </w:p>
    <w:p w:rsidR="00982CE4" w:rsidRPr="00323B10" w:rsidRDefault="00982CE4" w:rsidP="00982CE4">
      <w:pPr>
        <w:numPr>
          <w:ilvl w:val="1"/>
          <w:numId w:val="3"/>
        </w:numPr>
        <w:suppressAutoHyphens w:val="0"/>
        <w:spacing w:line="276" w:lineRule="auto"/>
        <w:rPr>
          <w:szCs w:val="20"/>
        </w:rPr>
      </w:pPr>
      <w:r w:rsidRPr="00323B10">
        <w:rPr>
          <w:szCs w:val="20"/>
        </w:rPr>
        <w:t>Dégrilleur et vis de compactage</w:t>
      </w:r>
    </w:p>
    <w:p w:rsidR="00982CE4" w:rsidRPr="00323B10" w:rsidRDefault="00982CE4" w:rsidP="00982CE4">
      <w:pPr>
        <w:numPr>
          <w:ilvl w:val="2"/>
          <w:numId w:val="3"/>
        </w:numPr>
        <w:suppressAutoHyphens w:val="0"/>
        <w:spacing w:line="276" w:lineRule="auto"/>
        <w:rPr>
          <w:szCs w:val="20"/>
        </w:rPr>
      </w:pPr>
      <w:r w:rsidRPr="00323B10">
        <w:rPr>
          <w:szCs w:val="20"/>
        </w:rPr>
        <w:t>Lancement d’un cycle de dégrillage, nettoyage de la pelle, de la trémie et de la vis</w:t>
      </w:r>
    </w:p>
    <w:p w:rsidR="00982CE4" w:rsidRPr="00323B10" w:rsidRDefault="00982CE4" w:rsidP="00982CE4">
      <w:pPr>
        <w:numPr>
          <w:ilvl w:val="1"/>
          <w:numId w:val="3"/>
        </w:numPr>
        <w:suppressAutoHyphens w:val="0"/>
        <w:spacing w:line="276" w:lineRule="auto"/>
        <w:rPr>
          <w:szCs w:val="20"/>
        </w:rPr>
      </w:pPr>
      <w:r w:rsidRPr="00323B10">
        <w:rPr>
          <w:szCs w:val="20"/>
        </w:rPr>
        <w:t>Poubelle en sortie de la vis de compactage</w:t>
      </w:r>
    </w:p>
    <w:p w:rsidR="00982CE4" w:rsidRPr="00323B10" w:rsidRDefault="00982CE4" w:rsidP="00982CE4">
      <w:pPr>
        <w:numPr>
          <w:ilvl w:val="2"/>
          <w:numId w:val="3"/>
        </w:numPr>
        <w:suppressAutoHyphens w:val="0"/>
        <w:spacing w:line="276" w:lineRule="auto"/>
        <w:rPr>
          <w:szCs w:val="20"/>
        </w:rPr>
      </w:pPr>
      <w:r w:rsidRPr="00323B10">
        <w:rPr>
          <w:szCs w:val="20"/>
        </w:rPr>
        <w:t>Changement du sac, enlèvement et évacuation des déchets</w:t>
      </w:r>
    </w:p>
    <w:p w:rsidR="00982CE4" w:rsidRPr="00323B10" w:rsidRDefault="00982CE4" w:rsidP="00982CE4">
      <w:pPr>
        <w:numPr>
          <w:ilvl w:val="1"/>
          <w:numId w:val="3"/>
        </w:numPr>
        <w:suppressAutoHyphens w:val="0"/>
        <w:spacing w:line="276" w:lineRule="auto"/>
        <w:rPr>
          <w:szCs w:val="20"/>
        </w:rPr>
      </w:pPr>
      <w:r w:rsidRPr="00323B10">
        <w:rPr>
          <w:szCs w:val="20"/>
        </w:rPr>
        <w:lastRenderedPageBreak/>
        <w:t>Vanne motorisée de vidange du bassin</w:t>
      </w:r>
    </w:p>
    <w:p w:rsidR="00982CE4" w:rsidRPr="00323B10" w:rsidRDefault="00982CE4" w:rsidP="00982CE4">
      <w:pPr>
        <w:numPr>
          <w:ilvl w:val="2"/>
          <w:numId w:val="3"/>
        </w:numPr>
        <w:suppressAutoHyphens w:val="0"/>
        <w:spacing w:line="276" w:lineRule="auto"/>
        <w:rPr>
          <w:szCs w:val="20"/>
        </w:rPr>
      </w:pPr>
      <w:r w:rsidRPr="00323B10">
        <w:rPr>
          <w:szCs w:val="20"/>
        </w:rPr>
        <w:t>Essai de fermeture / ouverture</w:t>
      </w:r>
    </w:p>
    <w:p w:rsidR="00982CE4" w:rsidRPr="00323B10" w:rsidRDefault="00982CE4" w:rsidP="00982CE4">
      <w:pPr>
        <w:numPr>
          <w:ilvl w:val="1"/>
          <w:numId w:val="3"/>
        </w:numPr>
        <w:suppressAutoHyphens w:val="0"/>
        <w:spacing w:line="276" w:lineRule="auto"/>
        <w:rPr>
          <w:szCs w:val="20"/>
        </w:rPr>
      </w:pPr>
      <w:r w:rsidRPr="00323B10">
        <w:rPr>
          <w:szCs w:val="20"/>
        </w:rPr>
        <w:t>Sonde US du poste de refoulement</w:t>
      </w:r>
    </w:p>
    <w:p w:rsidR="00982CE4" w:rsidRPr="00323B10" w:rsidRDefault="00982CE4" w:rsidP="00982CE4">
      <w:pPr>
        <w:numPr>
          <w:ilvl w:val="2"/>
          <w:numId w:val="3"/>
        </w:numPr>
        <w:suppressAutoHyphens w:val="0"/>
        <w:spacing w:line="276" w:lineRule="auto"/>
        <w:rPr>
          <w:szCs w:val="20"/>
        </w:rPr>
      </w:pPr>
      <w:r w:rsidRPr="00323B10">
        <w:rPr>
          <w:szCs w:val="20"/>
        </w:rPr>
        <w:t>Vérification de la cohérence de la courbe sur la supervision</w:t>
      </w:r>
    </w:p>
    <w:p w:rsidR="00982CE4" w:rsidRPr="00323B10" w:rsidRDefault="00982CE4" w:rsidP="00982CE4">
      <w:pPr>
        <w:numPr>
          <w:ilvl w:val="1"/>
          <w:numId w:val="3"/>
        </w:numPr>
        <w:suppressAutoHyphens w:val="0"/>
        <w:spacing w:line="276" w:lineRule="auto"/>
        <w:rPr>
          <w:szCs w:val="20"/>
        </w:rPr>
      </w:pPr>
      <w:r w:rsidRPr="00323B10">
        <w:rPr>
          <w:szCs w:val="20"/>
        </w:rPr>
        <w:t>Lame déversante du regard de comptage</w:t>
      </w:r>
    </w:p>
    <w:p w:rsidR="00982CE4" w:rsidRPr="00323B10" w:rsidRDefault="00982CE4" w:rsidP="00982CE4">
      <w:pPr>
        <w:numPr>
          <w:ilvl w:val="2"/>
          <w:numId w:val="3"/>
        </w:numPr>
        <w:suppressAutoHyphens w:val="0"/>
        <w:spacing w:line="276" w:lineRule="auto"/>
        <w:rPr>
          <w:szCs w:val="20"/>
        </w:rPr>
      </w:pPr>
      <w:r w:rsidRPr="00323B10">
        <w:rPr>
          <w:szCs w:val="20"/>
        </w:rPr>
        <w:t>Nettoyage de la lame</w:t>
      </w:r>
    </w:p>
    <w:p w:rsidR="00982CE4" w:rsidRPr="00323B10" w:rsidRDefault="00982CE4" w:rsidP="00982CE4">
      <w:pPr>
        <w:numPr>
          <w:ilvl w:val="1"/>
          <w:numId w:val="3"/>
        </w:numPr>
        <w:suppressAutoHyphens w:val="0"/>
        <w:spacing w:line="276" w:lineRule="auto"/>
        <w:rPr>
          <w:szCs w:val="20"/>
        </w:rPr>
      </w:pPr>
      <w:r w:rsidRPr="00323B10">
        <w:rPr>
          <w:szCs w:val="20"/>
        </w:rPr>
        <w:t>Poires de niveau dans le poste de refoulement</w:t>
      </w:r>
    </w:p>
    <w:p w:rsidR="00982CE4" w:rsidRPr="00323B10" w:rsidRDefault="00982CE4" w:rsidP="00982CE4">
      <w:pPr>
        <w:numPr>
          <w:ilvl w:val="2"/>
          <w:numId w:val="3"/>
        </w:numPr>
        <w:suppressAutoHyphens w:val="0"/>
        <w:spacing w:line="276" w:lineRule="auto"/>
        <w:rPr>
          <w:szCs w:val="20"/>
        </w:rPr>
      </w:pPr>
      <w:r w:rsidRPr="00323B10">
        <w:rPr>
          <w:szCs w:val="20"/>
        </w:rPr>
        <w:t>Nettoyage et essai de bon fonctionnement</w:t>
      </w:r>
    </w:p>
    <w:p w:rsidR="00982CE4" w:rsidRPr="00323B10" w:rsidRDefault="00982CE4" w:rsidP="00982CE4">
      <w:pPr>
        <w:numPr>
          <w:ilvl w:val="1"/>
          <w:numId w:val="3"/>
        </w:numPr>
        <w:suppressAutoHyphens w:val="0"/>
        <w:spacing w:line="276" w:lineRule="auto"/>
        <w:rPr>
          <w:szCs w:val="20"/>
        </w:rPr>
      </w:pPr>
      <w:r w:rsidRPr="00323B10">
        <w:rPr>
          <w:szCs w:val="20"/>
        </w:rPr>
        <w:t>Débitmètre électromagnétique</w:t>
      </w:r>
    </w:p>
    <w:p w:rsidR="00982CE4" w:rsidRPr="00323B10" w:rsidRDefault="00982CE4" w:rsidP="00982CE4">
      <w:pPr>
        <w:numPr>
          <w:ilvl w:val="2"/>
          <w:numId w:val="3"/>
        </w:numPr>
        <w:suppressAutoHyphens w:val="0"/>
        <w:spacing w:line="276" w:lineRule="auto"/>
        <w:rPr>
          <w:szCs w:val="20"/>
        </w:rPr>
      </w:pPr>
      <w:r w:rsidRPr="00323B10">
        <w:rPr>
          <w:szCs w:val="20"/>
        </w:rPr>
        <w:t xml:space="preserve"> Vérification de la cohérence de la courbe sur la supervision</w:t>
      </w:r>
    </w:p>
    <w:p w:rsidR="00982CE4" w:rsidRPr="00323B10" w:rsidRDefault="00982CE4" w:rsidP="00982CE4">
      <w:pPr>
        <w:numPr>
          <w:ilvl w:val="1"/>
          <w:numId w:val="3"/>
        </w:numPr>
        <w:suppressAutoHyphens w:val="0"/>
        <w:spacing w:line="276" w:lineRule="auto"/>
        <w:rPr>
          <w:szCs w:val="20"/>
        </w:rPr>
      </w:pPr>
      <w:r w:rsidRPr="00323B10">
        <w:rPr>
          <w:szCs w:val="20"/>
        </w:rPr>
        <w:t>Vérification de l’état des chaines de manutention des appareils du poste (accrochage, tension …Etc.)</w:t>
      </w:r>
    </w:p>
    <w:p w:rsidR="00982CE4" w:rsidRPr="00323B10" w:rsidRDefault="00982CE4" w:rsidP="00982CE4">
      <w:pPr>
        <w:ind w:left="2160"/>
        <w:rPr>
          <w:szCs w:val="20"/>
        </w:rPr>
      </w:pPr>
    </w:p>
    <w:p w:rsidR="00982CE4" w:rsidRPr="00323B10" w:rsidRDefault="00982CE4" w:rsidP="00982CE4">
      <w:pPr>
        <w:numPr>
          <w:ilvl w:val="0"/>
          <w:numId w:val="3"/>
        </w:numPr>
        <w:suppressAutoHyphens w:val="0"/>
        <w:spacing w:line="276" w:lineRule="auto"/>
        <w:rPr>
          <w:szCs w:val="20"/>
        </w:rPr>
      </w:pPr>
      <w:r w:rsidRPr="00323B10">
        <w:rPr>
          <w:szCs w:val="20"/>
          <w:u w:val="single"/>
        </w:rPr>
        <w:t>Passage trimestriel</w:t>
      </w:r>
      <w:r w:rsidRPr="00323B10">
        <w:rPr>
          <w:rFonts w:ascii="Calibri" w:hAnsi="Calibri" w:cs="Calibri"/>
          <w:szCs w:val="20"/>
        </w:rPr>
        <w:t> </w:t>
      </w:r>
      <w:r w:rsidRPr="00323B10">
        <w:rPr>
          <w:szCs w:val="20"/>
        </w:rPr>
        <w:t>:</w:t>
      </w:r>
    </w:p>
    <w:p w:rsidR="00982CE4" w:rsidRPr="00323B10" w:rsidRDefault="00982CE4" w:rsidP="00982CE4">
      <w:pPr>
        <w:numPr>
          <w:ilvl w:val="1"/>
          <w:numId w:val="3"/>
        </w:numPr>
        <w:suppressAutoHyphens w:val="0"/>
        <w:spacing w:line="276" w:lineRule="auto"/>
        <w:rPr>
          <w:szCs w:val="20"/>
        </w:rPr>
      </w:pPr>
      <w:r w:rsidRPr="00323B10">
        <w:rPr>
          <w:szCs w:val="20"/>
        </w:rPr>
        <w:t>Sonde US du regard de comptage</w:t>
      </w:r>
    </w:p>
    <w:p w:rsidR="00982CE4" w:rsidRPr="00323B10" w:rsidRDefault="00982CE4" w:rsidP="00982CE4">
      <w:pPr>
        <w:numPr>
          <w:ilvl w:val="2"/>
          <w:numId w:val="3"/>
        </w:numPr>
        <w:suppressAutoHyphens w:val="0"/>
        <w:spacing w:line="276" w:lineRule="auto"/>
        <w:rPr>
          <w:szCs w:val="20"/>
        </w:rPr>
      </w:pPr>
      <w:r w:rsidRPr="00323B10">
        <w:rPr>
          <w:szCs w:val="20"/>
        </w:rPr>
        <w:t>Contrôle interne du zéro</w:t>
      </w:r>
    </w:p>
    <w:p w:rsidR="00982CE4" w:rsidRPr="00323B10" w:rsidRDefault="00982CE4" w:rsidP="00982CE4">
      <w:pPr>
        <w:numPr>
          <w:ilvl w:val="1"/>
          <w:numId w:val="3"/>
        </w:numPr>
        <w:suppressAutoHyphens w:val="0"/>
        <w:spacing w:line="276" w:lineRule="auto"/>
        <w:rPr>
          <w:szCs w:val="20"/>
        </w:rPr>
      </w:pPr>
      <w:r w:rsidRPr="00323B10">
        <w:rPr>
          <w:szCs w:val="20"/>
        </w:rPr>
        <w:t>Vannes opercules de refoulement des eaux usées</w:t>
      </w:r>
    </w:p>
    <w:p w:rsidR="00982CE4" w:rsidRPr="00323B10" w:rsidRDefault="00982CE4" w:rsidP="00982CE4">
      <w:pPr>
        <w:numPr>
          <w:ilvl w:val="2"/>
          <w:numId w:val="3"/>
        </w:numPr>
        <w:suppressAutoHyphens w:val="0"/>
        <w:spacing w:line="276" w:lineRule="auto"/>
        <w:rPr>
          <w:szCs w:val="20"/>
        </w:rPr>
      </w:pPr>
      <w:r w:rsidRPr="00323B10">
        <w:rPr>
          <w:szCs w:val="20"/>
        </w:rPr>
        <w:t>Essai de fermeture / ouverture</w:t>
      </w:r>
    </w:p>
    <w:p w:rsidR="00982CE4" w:rsidRPr="00323B10" w:rsidRDefault="00982CE4" w:rsidP="00982CE4">
      <w:pPr>
        <w:numPr>
          <w:ilvl w:val="1"/>
          <w:numId w:val="3"/>
        </w:numPr>
        <w:suppressAutoHyphens w:val="0"/>
        <w:spacing w:line="276" w:lineRule="auto"/>
        <w:rPr>
          <w:szCs w:val="20"/>
        </w:rPr>
      </w:pPr>
      <w:r w:rsidRPr="00323B10">
        <w:rPr>
          <w:szCs w:val="20"/>
        </w:rPr>
        <w:t>Canon de rinçage du bassin de rétention</w:t>
      </w:r>
    </w:p>
    <w:p w:rsidR="00982CE4" w:rsidRPr="00323B10" w:rsidRDefault="00982CE4" w:rsidP="00982CE4">
      <w:pPr>
        <w:numPr>
          <w:ilvl w:val="2"/>
          <w:numId w:val="3"/>
        </w:numPr>
        <w:suppressAutoHyphens w:val="0"/>
        <w:spacing w:line="276" w:lineRule="auto"/>
        <w:rPr>
          <w:szCs w:val="20"/>
        </w:rPr>
      </w:pPr>
      <w:r w:rsidRPr="00323B10">
        <w:rPr>
          <w:szCs w:val="20"/>
        </w:rPr>
        <w:t>Essai de bon fonctionnement, purge de la conduite montante et nettoyage du bassin</w:t>
      </w:r>
    </w:p>
    <w:p w:rsidR="00982CE4" w:rsidRPr="00323B10" w:rsidRDefault="00982CE4" w:rsidP="00982CE4">
      <w:pPr>
        <w:numPr>
          <w:ilvl w:val="1"/>
          <w:numId w:val="3"/>
        </w:numPr>
        <w:suppressAutoHyphens w:val="0"/>
        <w:spacing w:line="276" w:lineRule="auto"/>
        <w:rPr>
          <w:szCs w:val="20"/>
        </w:rPr>
      </w:pPr>
      <w:r w:rsidRPr="00323B10">
        <w:rPr>
          <w:szCs w:val="20"/>
        </w:rPr>
        <w:t>Alimentation en eau potable</w:t>
      </w:r>
    </w:p>
    <w:p w:rsidR="00982CE4" w:rsidRPr="00323B10" w:rsidRDefault="00982CE4" w:rsidP="00982CE4">
      <w:pPr>
        <w:numPr>
          <w:ilvl w:val="2"/>
          <w:numId w:val="3"/>
        </w:numPr>
        <w:suppressAutoHyphens w:val="0"/>
        <w:spacing w:line="276" w:lineRule="auto"/>
        <w:rPr>
          <w:szCs w:val="20"/>
        </w:rPr>
      </w:pPr>
      <w:r w:rsidRPr="00323B10">
        <w:rPr>
          <w:szCs w:val="20"/>
        </w:rPr>
        <w:t>Manœuvre des trois vannes d’alimentation enterrées (vis, bâtiment et canon de rinçage)</w:t>
      </w:r>
    </w:p>
    <w:p w:rsidR="00982CE4" w:rsidRPr="00323B10" w:rsidRDefault="00982CE4" w:rsidP="00982CE4">
      <w:pPr>
        <w:numPr>
          <w:ilvl w:val="1"/>
          <w:numId w:val="3"/>
        </w:numPr>
        <w:suppressAutoHyphens w:val="0"/>
        <w:spacing w:line="276" w:lineRule="auto"/>
        <w:rPr>
          <w:szCs w:val="20"/>
        </w:rPr>
      </w:pPr>
      <w:r w:rsidRPr="00323B10">
        <w:rPr>
          <w:szCs w:val="20"/>
        </w:rPr>
        <w:t>Dégrilleur et vis de compactage</w:t>
      </w:r>
    </w:p>
    <w:p w:rsidR="00982CE4" w:rsidRPr="00227B8F" w:rsidRDefault="00982CE4" w:rsidP="00982CE4">
      <w:pPr>
        <w:numPr>
          <w:ilvl w:val="2"/>
          <w:numId w:val="3"/>
        </w:numPr>
        <w:suppressAutoHyphens w:val="0"/>
        <w:spacing w:line="276" w:lineRule="auto"/>
        <w:rPr>
          <w:szCs w:val="20"/>
        </w:rPr>
      </w:pPr>
      <w:r w:rsidRPr="00323B10">
        <w:rPr>
          <w:szCs w:val="20"/>
        </w:rPr>
        <w:t>Contrôle visuel de l’aspect de la sangle (vérifier qu’elle circule librement sans frottement latéral sur la poulie, le galet du palpeur et les flasques de tambour. Si nécessaire régler la position de la sangle et nettoyer le galet et la poulie s’ils sont encrassés).</w:t>
      </w:r>
    </w:p>
    <w:p w:rsidR="00982CE4" w:rsidRPr="00323B10" w:rsidRDefault="00982CE4" w:rsidP="00982CE4">
      <w:pPr>
        <w:spacing w:line="276" w:lineRule="auto"/>
        <w:rPr>
          <w:szCs w:val="20"/>
        </w:rPr>
      </w:pPr>
      <w:r w:rsidRPr="00323B10">
        <w:rPr>
          <w:szCs w:val="20"/>
        </w:rPr>
        <w:t>Un compte rendu sera adressé par mail au plus tard 15 jours après la date anniversaire de la maintenance trimestrielle à l’adresse suivante</w:t>
      </w:r>
      <w:r w:rsidRPr="00323B10">
        <w:rPr>
          <w:rFonts w:ascii="Calibri" w:hAnsi="Calibri" w:cs="Calibri"/>
          <w:szCs w:val="20"/>
        </w:rPr>
        <w:t> </w:t>
      </w:r>
      <w:r w:rsidRPr="00323B10">
        <w:rPr>
          <w:szCs w:val="20"/>
        </w:rPr>
        <w:t>:</w:t>
      </w:r>
    </w:p>
    <w:p w:rsidR="00982CE4" w:rsidRDefault="00982CE4" w:rsidP="00982CE4">
      <w:pPr>
        <w:rPr>
          <w:b/>
          <w:szCs w:val="20"/>
          <w:u w:val="single"/>
        </w:rPr>
      </w:pPr>
      <w:r w:rsidRPr="00323B10">
        <w:rPr>
          <w:b/>
          <w:szCs w:val="20"/>
          <w:u w:val="single"/>
        </w:rPr>
        <w:t xml:space="preserve">usid-la-valbonne-cell-maint.referent.fct@intradef.gouv.fr </w:t>
      </w:r>
    </w:p>
    <w:p w:rsidR="00982CE4" w:rsidRPr="00323B10" w:rsidRDefault="00982CE4" w:rsidP="00982CE4">
      <w:pPr>
        <w:numPr>
          <w:ilvl w:val="0"/>
          <w:numId w:val="4"/>
        </w:numPr>
        <w:suppressAutoHyphens w:val="0"/>
        <w:spacing w:line="276" w:lineRule="auto"/>
        <w:rPr>
          <w:szCs w:val="20"/>
        </w:rPr>
      </w:pPr>
      <w:r w:rsidRPr="00323B10">
        <w:rPr>
          <w:szCs w:val="20"/>
          <w:u w:val="single"/>
        </w:rPr>
        <w:lastRenderedPageBreak/>
        <w:t>Passage annuel</w:t>
      </w:r>
      <w:r w:rsidRPr="00323B10">
        <w:rPr>
          <w:rFonts w:ascii="Calibri" w:hAnsi="Calibri" w:cs="Calibri"/>
          <w:szCs w:val="20"/>
        </w:rPr>
        <w:t> </w:t>
      </w:r>
      <w:r w:rsidRPr="00323B10">
        <w:rPr>
          <w:szCs w:val="20"/>
        </w:rPr>
        <w:t>:</w:t>
      </w:r>
    </w:p>
    <w:p w:rsidR="00982CE4" w:rsidRPr="00323B10" w:rsidRDefault="00982CE4" w:rsidP="00982CE4">
      <w:pPr>
        <w:numPr>
          <w:ilvl w:val="1"/>
          <w:numId w:val="4"/>
        </w:numPr>
        <w:suppressAutoHyphens w:val="0"/>
        <w:spacing w:line="276" w:lineRule="auto"/>
        <w:rPr>
          <w:szCs w:val="20"/>
        </w:rPr>
      </w:pPr>
      <w:r w:rsidRPr="00323B10">
        <w:rPr>
          <w:szCs w:val="20"/>
        </w:rPr>
        <w:t>Vanne motorisée de vidange du bassin</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Inspection visuelle (entrées de câbles, presse-étoupes, bouchons …Etc.)</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Vérification du bon serrage des vis entre le servomoteur et la vanne/le réducteur en respectant le couple de serrage</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 xml:space="preserve"> En cas de manœuvre occasionnelle : effectuer une manœuvre d’essai.</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Pour les appareils à forme d'accouplement A:</w:t>
      </w:r>
    </w:p>
    <w:p w:rsidR="00982CE4" w:rsidRPr="00323B10" w:rsidRDefault="00982CE4" w:rsidP="00982CE4">
      <w:pPr>
        <w:numPr>
          <w:ilvl w:val="3"/>
          <w:numId w:val="5"/>
        </w:numPr>
        <w:suppressAutoHyphens w:val="0"/>
        <w:spacing w:after="0" w:line="276" w:lineRule="auto"/>
        <w:ind w:left="2874" w:hanging="357"/>
        <w:rPr>
          <w:szCs w:val="20"/>
        </w:rPr>
      </w:pPr>
      <w:r w:rsidRPr="00323B10">
        <w:rPr>
          <w:szCs w:val="20"/>
        </w:rPr>
        <w:t xml:space="preserve"> Injecter la graisse polyvalente EP aux savons lithium à base d’huiles raffinées par le graisseur à l’aide d’une pompe à graisse.</w:t>
      </w:r>
    </w:p>
    <w:p w:rsidR="00982CE4" w:rsidRPr="00323B10" w:rsidRDefault="00982CE4" w:rsidP="00982CE4">
      <w:pPr>
        <w:numPr>
          <w:ilvl w:val="3"/>
          <w:numId w:val="5"/>
        </w:numPr>
        <w:suppressAutoHyphens w:val="0"/>
        <w:spacing w:after="0" w:line="276" w:lineRule="auto"/>
        <w:ind w:left="2874" w:hanging="357"/>
        <w:rPr>
          <w:szCs w:val="20"/>
        </w:rPr>
      </w:pPr>
      <w:r w:rsidRPr="00323B10">
        <w:rPr>
          <w:szCs w:val="20"/>
        </w:rPr>
        <w:t>Le graissage de la tige de la vanne doit se faire séparément.</w:t>
      </w:r>
    </w:p>
    <w:p w:rsidR="00982CE4" w:rsidRPr="00323B10" w:rsidRDefault="00982CE4" w:rsidP="00982CE4">
      <w:pPr>
        <w:numPr>
          <w:ilvl w:val="2"/>
          <w:numId w:val="4"/>
        </w:numPr>
        <w:suppressAutoHyphens w:val="0"/>
        <w:spacing w:line="276" w:lineRule="auto"/>
        <w:rPr>
          <w:szCs w:val="20"/>
        </w:rPr>
      </w:pPr>
      <w:r w:rsidRPr="00323B10">
        <w:rPr>
          <w:szCs w:val="20"/>
        </w:rPr>
        <w:t>Pour indice de protection IP 68, Après l’immersion prolongée :</w:t>
      </w:r>
    </w:p>
    <w:p w:rsidR="00982CE4" w:rsidRPr="00323B10" w:rsidRDefault="00982CE4" w:rsidP="00982CE4">
      <w:pPr>
        <w:numPr>
          <w:ilvl w:val="3"/>
          <w:numId w:val="4"/>
        </w:numPr>
        <w:suppressAutoHyphens w:val="0"/>
        <w:spacing w:after="0" w:line="276" w:lineRule="auto"/>
        <w:ind w:left="2874" w:hanging="357"/>
        <w:rPr>
          <w:szCs w:val="20"/>
        </w:rPr>
      </w:pPr>
      <w:r w:rsidRPr="00323B10">
        <w:rPr>
          <w:szCs w:val="20"/>
        </w:rPr>
        <w:t>Vérifier le servomoteur.</w:t>
      </w:r>
    </w:p>
    <w:p w:rsidR="00982CE4" w:rsidRPr="00323B10" w:rsidRDefault="00982CE4" w:rsidP="00982CE4">
      <w:pPr>
        <w:numPr>
          <w:ilvl w:val="3"/>
          <w:numId w:val="4"/>
        </w:numPr>
        <w:suppressAutoHyphens w:val="0"/>
        <w:spacing w:after="0" w:line="276" w:lineRule="auto"/>
        <w:ind w:left="2874" w:hanging="357"/>
        <w:rPr>
          <w:szCs w:val="20"/>
        </w:rPr>
      </w:pPr>
      <w:r w:rsidRPr="00323B10">
        <w:rPr>
          <w:szCs w:val="20"/>
        </w:rPr>
        <w:t>En cas d'entrée d’eau, vérifier et rectifier les points non étanches, sécher l’appareil de manière appropriée et vérifier sa fonctionnalité.</w:t>
      </w:r>
    </w:p>
    <w:p w:rsidR="00982CE4" w:rsidRPr="00323B10" w:rsidRDefault="00982CE4" w:rsidP="00982CE4">
      <w:pPr>
        <w:numPr>
          <w:ilvl w:val="1"/>
          <w:numId w:val="4"/>
        </w:numPr>
        <w:suppressAutoHyphens w:val="0"/>
        <w:spacing w:line="276" w:lineRule="auto"/>
        <w:rPr>
          <w:szCs w:val="20"/>
        </w:rPr>
      </w:pPr>
      <w:r w:rsidRPr="00323B10">
        <w:rPr>
          <w:szCs w:val="20"/>
        </w:rPr>
        <w:t>Dégrilleur et vis de compactage</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Echange standard de la sangle</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Vidange de l’huile du réducteur</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Contrôles de la poulie, du galet et des patins mobiles ainsi que des deux axes d’articulation pelle/chariot et remplacement si nécessaire</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Vérification du fonctionnement des capteurs de position (réglage et/ou remplacement si nécessaire</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Vérification de l’état des coulisseaux (graissage et/ou remplacement si nécessaire</w:t>
      </w:r>
    </w:p>
    <w:p w:rsidR="00982CE4" w:rsidRPr="00323B10" w:rsidRDefault="00982CE4" w:rsidP="00982CE4">
      <w:pPr>
        <w:numPr>
          <w:ilvl w:val="1"/>
          <w:numId w:val="4"/>
        </w:numPr>
        <w:suppressAutoHyphens w:val="0"/>
        <w:spacing w:line="276" w:lineRule="auto"/>
        <w:rPr>
          <w:szCs w:val="20"/>
        </w:rPr>
      </w:pPr>
      <w:r w:rsidRPr="00323B10">
        <w:rPr>
          <w:szCs w:val="20"/>
        </w:rPr>
        <w:t>Pompes EU/EP (station de refoulement/poste de relevage)</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Nettoyage complet</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 xml:space="preserve">Contrôle de l’isolement des bobinages moteurs </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Contrôle des câbles d’alimentation (état général, mesure conducteur de terre)</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Contrôle du lubrifiant</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En cas d'entrée d’eau, vérifier et rectifier les points non étanches, sécher l’appareil de manière appropriée et vérifier sa fonctionnalité.</w:t>
      </w:r>
    </w:p>
    <w:p w:rsidR="00982CE4" w:rsidRPr="00323B10" w:rsidRDefault="00982CE4" w:rsidP="00982CE4">
      <w:pPr>
        <w:numPr>
          <w:ilvl w:val="1"/>
          <w:numId w:val="4"/>
        </w:numPr>
        <w:suppressAutoHyphens w:val="0"/>
        <w:spacing w:line="276" w:lineRule="auto"/>
        <w:rPr>
          <w:szCs w:val="20"/>
        </w:rPr>
      </w:pPr>
      <w:r w:rsidRPr="00323B10">
        <w:rPr>
          <w:szCs w:val="20"/>
        </w:rPr>
        <w:t>Canon de rinçage</w:t>
      </w:r>
    </w:p>
    <w:p w:rsidR="00982CE4" w:rsidRPr="00323B10" w:rsidRDefault="00982CE4" w:rsidP="00982CE4">
      <w:pPr>
        <w:numPr>
          <w:ilvl w:val="2"/>
          <w:numId w:val="4"/>
        </w:numPr>
        <w:suppressAutoHyphens w:val="0"/>
        <w:spacing w:line="276" w:lineRule="auto"/>
        <w:rPr>
          <w:szCs w:val="20"/>
        </w:rPr>
      </w:pPr>
      <w:r w:rsidRPr="00323B10">
        <w:rPr>
          <w:szCs w:val="20"/>
        </w:rPr>
        <w:t>Graissage des raccords tournant azimut et site</w:t>
      </w:r>
    </w:p>
    <w:p w:rsidR="00982CE4" w:rsidRPr="00323B10" w:rsidRDefault="00982CE4" w:rsidP="00982CE4">
      <w:pPr>
        <w:numPr>
          <w:ilvl w:val="1"/>
          <w:numId w:val="4"/>
        </w:numPr>
        <w:suppressAutoHyphens w:val="0"/>
        <w:spacing w:line="276" w:lineRule="auto"/>
        <w:rPr>
          <w:szCs w:val="20"/>
        </w:rPr>
      </w:pPr>
      <w:r w:rsidRPr="00323B10">
        <w:rPr>
          <w:szCs w:val="20"/>
        </w:rPr>
        <w:t xml:space="preserve">Armoire électrique </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Essai de déclenchement des DDR</w:t>
      </w:r>
    </w:p>
    <w:p w:rsidR="00982CE4" w:rsidRPr="00323B10" w:rsidRDefault="00982CE4" w:rsidP="00982CE4">
      <w:pPr>
        <w:numPr>
          <w:ilvl w:val="2"/>
          <w:numId w:val="4"/>
        </w:numPr>
        <w:suppressAutoHyphens w:val="0"/>
        <w:spacing w:after="0" w:line="276" w:lineRule="auto"/>
        <w:ind w:left="2154" w:hanging="357"/>
        <w:rPr>
          <w:szCs w:val="20"/>
        </w:rPr>
      </w:pPr>
      <w:r w:rsidRPr="00323B10">
        <w:rPr>
          <w:szCs w:val="20"/>
        </w:rPr>
        <w:t>Resserrage des connectiques si besoin</w:t>
      </w:r>
    </w:p>
    <w:p w:rsidR="00982CE4" w:rsidRPr="00323B10" w:rsidRDefault="00982CE4" w:rsidP="00982CE4">
      <w:pPr>
        <w:spacing w:line="276" w:lineRule="auto"/>
        <w:ind w:left="1080"/>
        <w:rPr>
          <w:szCs w:val="20"/>
        </w:rPr>
      </w:pPr>
      <w:r w:rsidRPr="00323B10">
        <w:rPr>
          <w:szCs w:val="20"/>
        </w:rPr>
        <w:t>Tour de désodorisation</w:t>
      </w:r>
    </w:p>
    <w:p w:rsidR="00982CE4" w:rsidRPr="00323B10" w:rsidRDefault="00982CE4" w:rsidP="00982CE4">
      <w:pPr>
        <w:numPr>
          <w:ilvl w:val="3"/>
          <w:numId w:val="4"/>
        </w:numPr>
        <w:suppressAutoHyphens w:val="0"/>
        <w:spacing w:after="0" w:line="276" w:lineRule="auto"/>
        <w:ind w:left="2874" w:hanging="357"/>
        <w:rPr>
          <w:szCs w:val="20"/>
        </w:rPr>
      </w:pPr>
      <w:r w:rsidRPr="00323B10">
        <w:rPr>
          <w:szCs w:val="20"/>
        </w:rPr>
        <w:t xml:space="preserve">Changement du charbon actif une fois </w:t>
      </w:r>
      <w:r>
        <w:rPr>
          <w:szCs w:val="20"/>
        </w:rPr>
        <w:t>tous les quatre ans.</w:t>
      </w:r>
    </w:p>
    <w:p w:rsidR="00982CE4" w:rsidRPr="00323B10" w:rsidRDefault="00982CE4" w:rsidP="00982CE4">
      <w:pPr>
        <w:numPr>
          <w:ilvl w:val="3"/>
          <w:numId w:val="4"/>
        </w:numPr>
        <w:suppressAutoHyphens w:val="0"/>
        <w:spacing w:after="0" w:line="276" w:lineRule="auto"/>
        <w:ind w:left="2874" w:hanging="357"/>
        <w:jc w:val="left"/>
        <w:rPr>
          <w:szCs w:val="20"/>
        </w:rPr>
      </w:pPr>
      <w:r w:rsidRPr="00323B10">
        <w:rPr>
          <w:szCs w:val="20"/>
        </w:rPr>
        <w:t>Enlèvement du charbon usagé</w:t>
      </w:r>
    </w:p>
    <w:p w:rsidR="00982CE4" w:rsidRPr="00323B10" w:rsidRDefault="00982CE4" w:rsidP="00982CE4">
      <w:pPr>
        <w:numPr>
          <w:ilvl w:val="3"/>
          <w:numId w:val="4"/>
        </w:numPr>
        <w:suppressAutoHyphens w:val="0"/>
        <w:spacing w:after="0" w:line="276" w:lineRule="auto"/>
        <w:ind w:left="2874" w:hanging="357"/>
        <w:jc w:val="left"/>
        <w:rPr>
          <w:szCs w:val="20"/>
        </w:rPr>
      </w:pPr>
      <w:r w:rsidRPr="00323B10">
        <w:rPr>
          <w:szCs w:val="20"/>
        </w:rPr>
        <w:t xml:space="preserve">Evacuation de celui-ci dans une filière agréée </w:t>
      </w:r>
    </w:p>
    <w:p w:rsidR="00982CE4" w:rsidRPr="00323B10" w:rsidRDefault="00982CE4" w:rsidP="00982CE4">
      <w:pPr>
        <w:numPr>
          <w:ilvl w:val="3"/>
          <w:numId w:val="4"/>
        </w:numPr>
        <w:suppressAutoHyphens w:val="0"/>
        <w:spacing w:after="0" w:line="276" w:lineRule="auto"/>
        <w:ind w:left="2874" w:hanging="357"/>
        <w:jc w:val="left"/>
        <w:rPr>
          <w:szCs w:val="20"/>
        </w:rPr>
      </w:pPr>
      <w:r w:rsidRPr="00323B10">
        <w:rPr>
          <w:szCs w:val="20"/>
        </w:rPr>
        <w:t>Fourniture d’un bordereau de suivi de déchets</w:t>
      </w:r>
    </w:p>
    <w:p w:rsidR="00982CE4" w:rsidRPr="00323B10" w:rsidRDefault="00982CE4" w:rsidP="00982CE4">
      <w:pPr>
        <w:numPr>
          <w:ilvl w:val="3"/>
          <w:numId w:val="4"/>
        </w:numPr>
        <w:suppressAutoHyphens w:val="0"/>
        <w:spacing w:after="0" w:line="276" w:lineRule="auto"/>
        <w:ind w:left="2874" w:hanging="357"/>
        <w:jc w:val="left"/>
        <w:rPr>
          <w:szCs w:val="20"/>
        </w:rPr>
      </w:pPr>
      <w:r w:rsidRPr="00323B10">
        <w:rPr>
          <w:szCs w:val="20"/>
        </w:rPr>
        <w:t>Mise en place de charbon neuf</w:t>
      </w:r>
    </w:p>
    <w:p w:rsidR="00982CE4" w:rsidRPr="00323B10" w:rsidRDefault="00982CE4" w:rsidP="00982CE4">
      <w:pPr>
        <w:numPr>
          <w:ilvl w:val="1"/>
          <w:numId w:val="4"/>
        </w:numPr>
        <w:suppressAutoHyphens w:val="0"/>
        <w:spacing w:line="276" w:lineRule="auto"/>
        <w:jc w:val="left"/>
        <w:rPr>
          <w:szCs w:val="20"/>
        </w:rPr>
      </w:pPr>
      <w:r w:rsidRPr="00323B10">
        <w:rPr>
          <w:szCs w:val="20"/>
        </w:rPr>
        <w:lastRenderedPageBreak/>
        <w:t>Agitateur</w:t>
      </w:r>
    </w:p>
    <w:p w:rsidR="00982CE4" w:rsidRDefault="00982CE4" w:rsidP="00982CE4">
      <w:pPr>
        <w:numPr>
          <w:ilvl w:val="2"/>
          <w:numId w:val="4"/>
        </w:numPr>
        <w:suppressAutoHyphens w:val="0"/>
        <w:spacing w:line="276" w:lineRule="auto"/>
        <w:jc w:val="left"/>
        <w:rPr>
          <w:szCs w:val="20"/>
        </w:rPr>
      </w:pPr>
      <w:r w:rsidRPr="00323B10">
        <w:rPr>
          <w:szCs w:val="20"/>
        </w:rPr>
        <w:t>Révision générale</w:t>
      </w:r>
    </w:p>
    <w:p w:rsidR="00982CE4" w:rsidRPr="00323B10" w:rsidRDefault="00982CE4" w:rsidP="00982CE4">
      <w:pPr>
        <w:numPr>
          <w:ilvl w:val="1"/>
          <w:numId w:val="4"/>
        </w:numPr>
        <w:suppressAutoHyphens w:val="0"/>
        <w:spacing w:line="276" w:lineRule="auto"/>
        <w:jc w:val="left"/>
        <w:rPr>
          <w:szCs w:val="20"/>
        </w:rPr>
      </w:pPr>
      <w:r>
        <w:rPr>
          <w:szCs w:val="20"/>
        </w:rPr>
        <w:t>Disconnecteur</w:t>
      </w:r>
    </w:p>
    <w:p w:rsidR="00982CE4" w:rsidRDefault="00982CE4" w:rsidP="00982CE4">
      <w:pPr>
        <w:numPr>
          <w:ilvl w:val="2"/>
          <w:numId w:val="4"/>
        </w:numPr>
        <w:suppressAutoHyphens w:val="0"/>
        <w:spacing w:after="0" w:line="276" w:lineRule="auto"/>
        <w:ind w:left="2154" w:hanging="357"/>
        <w:jc w:val="left"/>
        <w:rPr>
          <w:szCs w:val="20"/>
        </w:rPr>
      </w:pPr>
      <w:r>
        <w:rPr>
          <w:szCs w:val="20"/>
        </w:rPr>
        <w:t>Essais sur les organes d’étanchéité et de mise à décharge</w:t>
      </w:r>
    </w:p>
    <w:p w:rsidR="00982CE4" w:rsidRDefault="00982CE4" w:rsidP="00982CE4">
      <w:pPr>
        <w:numPr>
          <w:ilvl w:val="2"/>
          <w:numId w:val="4"/>
        </w:numPr>
        <w:suppressAutoHyphens w:val="0"/>
        <w:spacing w:after="0" w:line="276" w:lineRule="auto"/>
        <w:ind w:left="2154" w:hanging="357"/>
        <w:rPr>
          <w:szCs w:val="20"/>
        </w:rPr>
      </w:pPr>
      <w:r>
        <w:rPr>
          <w:szCs w:val="20"/>
        </w:rPr>
        <w:t>Une détection des défaillances et un diagnostic des anomalies de fonctionnement et des réparations à effectuer</w:t>
      </w:r>
    </w:p>
    <w:p w:rsidR="00982CE4" w:rsidRDefault="00982CE4" w:rsidP="00982CE4">
      <w:pPr>
        <w:numPr>
          <w:ilvl w:val="2"/>
          <w:numId w:val="4"/>
        </w:numPr>
        <w:suppressAutoHyphens w:val="0"/>
        <w:spacing w:after="0" w:line="276" w:lineRule="auto"/>
        <w:ind w:left="2154" w:hanging="357"/>
        <w:rPr>
          <w:szCs w:val="20"/>
        </w:rPr>
      </w:pPr>
      <w:r>
        <w:rPr>
          <w:szCs w:val="20"/>
        </w:rPr>
        <w:t>Réparation ou le changement si nécessaire des pièces défectueuses</w:t>
      </w:r>
    </w:p>
    <w:p w:rsidR="00982CE4" w:rsidRDefault="00982CE4" w:rsidP="00982CE4">
      <w:pPr>
        <w:numPr>
          <w:ilvl w:val="2"/>
          <w:numId w:val="4"/>
        </w:numPr>
        <w:suppressAutoHyphens w:val="0"/>
        <w:spacing w:after="0" w:line="276" w:lineRule="auto"/>
        <w:ind w:left="2154" w:hanging="357"/>
        <w:rPr>
          <w:szCs w:val="20"/>
        </w:rPr>
      </w:pPr>
      <w:r>
        <w:rPr>
          <w:szCs w:val="20"/>
        </w:rPr>
        <w:t>Mise à jour du carnet ou fichier technique et sanitaire des réseaux intérieurs de distribution concernant ces opérations</w:t>
      </w:r>
    </w:p>
    <w:p w:rsidR="00982CE4" w:rsidRPr="00323B10" w:rsidRDefault="00982CE4" w:rsidP="00982CE4">
      <w:pPr>
        <w:spacing w:line="276" w:lineRule="auto"/>
        <w:ind w:left="2160"/>
        <w:jc w:val="left"/>
        <w:rPr>
          <w:szCs w:val="20"/>
        </w:rPr>
      </w:pPr>
    </w:p>
    <w:p w:rsidR="00982CE4" w:rsidRPr="00323B10" w:rsidRDefault="00982CE4" w:rsidP="00982CE4">
      <w:pPr>
        <w:spacing w:line="276" w:lineRule="auto"/>
        <w:ind w:left="360"/>
        <w:rPr>
          <w:szCs w:val="20"/>
        </w:rPr>
      </w:pPr>
      <w:r w:rsidRPr="00323B10">
        <w:rPr>
          <w:szCs w:val="20"/>
        </w:rPr>
        <w:t>Un compte rendu sera adressé par mail au plus tard 15 jours après la maintenance annuelle à l’adresse suivante</w:t>
      </w:r>
      <w:r w:rsidRPr="00323B10">
        <w:rPr>
          <w:rFonts w:ascii="Calibri" w:hAnsi="Calibri" w:cs="Calibri"/>
          <w:szCs w:val="20"/>
        </w:rPr>
        <w:t> </w:t>
      </w:r>
      <w:r w:rsidRPr="00323B10">
        <w:rPr>
          <w:szCs w:val="20"/>
        </w:rPr>
        <w:t>:</w:t>
      </w:r>
    </w:p>
    <w:p w:rsidR="00982CE4" w:rsidRPr="00323B10" w:rsidRDefault="00982CE4" w:rsidP="00982CE4">
      <w:pPr>
        <w:ind w:left="360"/>
        <w:jc w:val="left"/>
        <w:rPr>
          <w:b/>
          <w:szCs w:val="20"/>
          <w:u w:val="single"/>
        </w:rPr>
      </w:pPr>
      <w:r w:rsidRPr="00323B10">
        <w:rPr>
          <w:b/>
          <w:szCs w:val="20"/>
          <w:u w:val="single"/>
        </w:rPr>
        <w:t xml:space="preserve">usid-la-valbonne-cell-maint.referent.fct@intradef.gouv.fr </w:t>
      </w:r>
    </w:p>
    <w:p w:rsidR="00982CE4" w:rsidRDefault="00982CE4" w:rsidP="00982CE4">
      <w:pPr>
        <w:rPr>
          <w:u w:val="single"/>
        </w:rPr>
      </w:pPr>
    </w:p>
    <w:p w:rsidR="00FA6138" w:rsidRDefault="00FA6138"/>
    <w:sectPr w:rsidR="00FA6138">
      <w:headerReference w:type="default" r:id="rId14"/>
      <w:footerReference w:type="default" r:id="rId15"/>
      <w:headerReference w:type="first" r:id="rId16"/>
      <w:footerReference w:type="first" r:id="rId17"/>
      <w:pgSz w:w="11906" w:h="16838"/>
      <w:pgMar w:top="1417" w:right="1417" w:bottom="1417" w:left="1417" w:header="708" w:footer="708"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4F0" w:rsidRDefault="00E314F0">
      <w:pPr>
        <w:spacing w:after="0" w:line="240" w:lineRule="auto"/>
      </w:pPr>
      <w:r>
        <w:separator/>
      </w:r>
    </w:p>
  </w:endnote>
  <w:endnote w:type="continuationSeparator" w:id="0">
    <w:p w:rsidR="00E314F0" w:rsidRDefault="00E31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EE5" w:rsidRDefault="004D1461">
    <w:pPr>
      <w:pStyle w:val="Pieddepage"/>
    </w:pPr>
    <w:r>
      <w:t xml:space="preserve">ESID </w:t>
    </w:r>
    <w:r w:rsidR="00D823F2">
      <w:t>25 199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rsidR="006B6EE5" w:rsidRDefault="004D1461">
        <w:pPr>
          <w:pStyle w:val="Pieddepage"/>
          <w:jc w:val="center"/>
        </w:pPr>
        <w:r>
          <w:fldChar w:fldCharType="begin"/>
        </w:r>
        <w:r>
          <w:instrText xml:space="preserve"> PAGE </w:instrText>
        </w:r>
        <w:r>
          <w:fldChar w:fldCharType="separate"/>
        </w:r>
        <w:r w:rsidR="00692835">
          <w:rPr>
            <w:noProof/>
          </w:rPr>
          <w:t>3</w:t>
        </w:r>
        <w:r>
          <w:fldChar w:fldCharType="end"/>
        </w:r>
      </w:p>
      <w:p w:rsidR="006B6EE5" w:rsidRDefault="00692835">
        <w:pPr>
          <w:pStyle w:val="Pieddepage"/>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EE5" w:rsidRDefault="004D1461">
    <w:pPr>
      <w:pStyle w:val="Pieddepage"/>
    </w:pPr>
    <w:r>
      <w:t xml:space="preserve">ESID </w:t>
    </w:r>
    <w:r w:rsidR="00D823F2">
      <w:t>25 199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4F0" w:rsidRDefault="00E314F0">
      <w:pPr>
        <w:spacing w:after="0" w:line="240" w:lineRule="auto"/>
      </w:pPr>
      <w:r>
        <w:separator/>
      </w:r>
    </w:p>
  </w:footnote>
  <w:footnote w:type="continuationSeparator" w:id="0">
    <w:p w:rsidR="00E314F0" w:rsidRDefault="00E31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EE5" w:rsidRDefault="004D1461">
    <w:pPr>
      <w:pStyle w:val="En-tte"/>
    </w:pPr>
    <w:r>
      <w:rPr>
        <w:noProof/>
        <w:lang w:eastAsia="fr-FR"/>
      </w:rPr>
      <w:drawing>
        <wp:anchor distT="0" distB="0" distL="0" distR="0" simplePos="0" relativeHeight="2" behindDoc="1" locked="0" layoutInCell="1" allowOverlap="1">
          <wp:simplePos x="0" y="0"/>
          <wp:positionH relativeFrom="column">
            <wp:posOffset>-600075</wp:posOffset>
          </wp:positionH>
          <wp:positionV relativeFrom="paragraph">
            <wp:posOffset>-353060</wp:posOffset>
          </wp:positionV>
          <wp:extent cx="2256155" cy="908050"/>
          <wp:effectExtent l="0" t="0" r="0" b="0"/>
          <wp:wrapNone/>
          <wp:docPr id="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5"/>
                  <pic:cNvPicPr>
                    <a:picLocks noChangeAspect="1" noChangeArrowheads="1"/>
                  </pic:cNvPicPr>
                </pic:nvPicPr>
                <pic:blipFill>
                  <a:blip r:embed="rId1"/>
                  <a:srcRect t="15894"/>
                  <a:stretch>
                    <a:fillRect/>
                  </a:stretch>
                </pic:blipFill>
                <pic:spPr bwMode="auto">
                  <a:xfrm>
                    <a:off x="0" y="0"/>
                    <a:ext cx="2256155" cy="908050"/>
                  </a:xfrm>
                  <a:prstGeom prst="rect">
                    <a:avLst/>
                  </a:prstGeom>
                </pic:spPr>
              </pic:pic>
            </a:graphicData>
          </a:graphic>
        </wp:anchor>
      </w:drawing>
    </w:r>
    <w:r>
      <w:tab/>
    </w:r>
    <w:r>
      <w:tab/>
      <w:t>DAF_</w:t>
    </w:r>
    <w:r w:rsidR="00692835">
      <w:t>2025_000919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EE5" w:rsidRDefault="006B6EE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EE5" w:rsidRDefault="004D1461">
    <w:pPr>
      <w:pStyle w:val="En-tte"/>
    </w:pPr>
    <w:r>
      <w:rPr>
        <w:noProof/>
        <w:lang w:eastAsia="fr-FR"/>
      </w:rPr>
      <w:drawing>
        <wp:anchor distT="0" distB="0" distL="0" distR="0" simplePos="0" relativeHeight="7" behindDoc="1" locked="0" layoutInCell="1" allowOverlap="1">
          <wp:simplePos x="0" y="0"/>
          <wp:positionH relativeFrom="column">
            <wp:posOffset>-600075</wp:posOffset>
          </wp:positionH>
          <wp:positionV relativeFrom="paragraph">
            <wp:posOffset>-353060</wp:posOffset>
          </wp:positionV>
          <wp:extent cx="2256155" cy="908050"/>
          <wp:effectExtent l="0" t="0" r="0" b="0"/>
          <wp:wrapNone/>
          <wp:docPr id="4" name="Image 5 Cop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5 Copie 1"/>
                  <pic:cNvPicPr>
                    <a:picLocks noChangeAspect="1" noChangeArrowheads="1"/>
                  </pic:cNvPicPr>
                </pic:nvPicPr>
                <pic:blipFill>
                  <a:blip r:embed="rId1"/>
                  <a:srcRect t="15894"/>
                  <a:stretch>
                    <a:fillRect/>
                  </a:stretch>
                </pic:blipFill>
                <pic:spPr bwMode="auto">
                  <a:xfrm>
                    <a:off x="0" y="0"/>
                    <a:ext cx="2256155" cy="908050"/>
                  </a:xfrm>
                  <a:prstGeom prst="rect">
                    <a:avLst/>
                  </a:prstGeom>
                </pic:spPr>
              </pic:pic>
            </a:graphicData>
          </a:graphic>
        </wp:anchor>
      </w:drawing>
    </w:r>
    <w:r>
      <w:tab/>
    </w:r>
    <w:r>
      <w:tab/>
      <w:t>DAF_</w:t>
    </w:r>
    <w:r w:rsidR="00692835">
      <w:t>2025_000919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82CF6"/>
    <w:multiLevelType w:val="hybridMultilevel"/>
    <w:tmpl w:val="10087A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BF2FA4"/>
    <w:multiLevelType w:val="hybridMultilevel"/>
    <w:tmpl w:val="A3CEC2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7935F5"/>
    <w:multiLevelType w:val="multilevel"/>
    <w:tmpl w:val="70DE9170"/>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864"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3" w15:restartNumberingAfterBreak="0">
    <w:nsid w:val="6E701B9A"/>
    <w:multiLevelType w:val="hybridMultilevel"/>
    <w:tmpl w:val="29A61E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3">
      <w:start w:val="1"/>
      <w:numFmt w:val="bullet"/>
      <w:lvlText w:val="o"/>
      <w:lvlJc w:val="left"/>
      <w:pPr>
        <w:ind w:left="2880" w:hanging="360"/>
      </w:pPr>
      <w:rPr>
        <w:rFonts w:ascii="Courier New" w:hAnsi="Courier New" w:cs="Courier New"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7985198"/>
    <w:multiLevelType w:val="multilevel"/>
    <w:tmpl w:val="0F78E714"/>
    <w:lvl w:ilvl="0">
      <w:start w:val="1"/>
      <w:numFmt w:val="bullet"/>
      <w:pStyle w:val="retrait2"/>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EE5"/>
    <w:rsid w:val="00016D36"/>
    <w:rsid w:val="001270BC"/>
    <w:rsid w:val="0024233F"/>
    <w:rsid w:val="003C6C25"/>
    <w:rsid w:val="004D1461"/>
    <w:rsid w:val="00692835"/>
    <w:rsid w:val="006B6EE5"/>
    <w:rsid w:val="00982CE4"/>
    <w:rsid w:val="009E2667"/>
    <w:rsid w:val="00D823F2"/>
    <w:rsid w:val="00E314F0"/>
    <w:rsid w:val="00FA011F"/>
    <w:rsid w:val="00FA613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222C0"/>
  <w15:docId w15:val="{B87971EE-43B4-4AB1-AC81-354A5B026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spacing w:after="200" w:line="288" w:lineRule="auto"/>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qFormat/>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qFormat/>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qFormat/>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qFormat/>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qFormat/>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qFormat/>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qFormat/>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qFormat/>
    <w:rsid w:val="00055BC9"/>
    <w:rPr>
      <w:rFonts w:asciiTheme="majorHAnsi" w:eastAsiaTheme="majorEastAsia" w:hAnsiTheme="majorHAnsi" w:cstheme="majorBidi"/>
      <w:i/>
      <w:iCs/>
      <w:color w:val="9E5E9B" w:themeColor="accent6"/>
      <w:sz w:val="20"/>
      <w:szCs w:val="20"/>
    </w:rPr>
  </w:style>
  <w:style w:type="character" w:customStyle="1" w:styleId="TitreCar">
    <w:name w:val="Titre Car"/>
    <w:basedOn w:val="Policepardfaut"/>
    <w:link w:val="Titre"/>
    <w:uiPriority w:val="10"/>
    <w:qFormat/>
    <w:rsid w:val="00D73F5F"/>
    <w:rPr>
      <w:rFonts w:ascii="Marianne Light" w:eastAsiaTheme="majorEastAsia" w:hAnsi="Marianne Light" w:cstheme="majorBidi"/>
      <w:color w:val="262626" w:themeColor="text1" w:themeTint="D9"/>
      <w:spacing w:val="-20"/>
      <w:sz w:val="72"/>
      <w:szCs w:val="96"/>
    </w:rPr>
  </w:style>
  <w:style w:type="character" w:customStyle="1" w:styleId="Sous-titreCar">
    <w:name w:val="Sous-titre Car"/>
    <w:basedOn w:val="Policepardfaut"/>
    <w:link w:val="Sous-titre"/>
    <w:uiPriority w:val="11"/>
    <w:qFormat/>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character" w:customStyle="1" w:styleId="SansinterligneCar">
    <w:name w:val="Sans interligne Car"/>
    <w:basedOn w:val="Policepardfaut"/>
    <w:link w:val="Sansinterligne"/>
    <w:uiPriority w:val="1"/>
    <w:qFormat/>
    <w:rsid w:val="00451CD6"/>
    <w:rPr>
      <w:rFonts w:ascii="Marianne" w:hAnsi="Marianne"/>
      <w:sz w:val="20"/>
    </w:rPr>
  </w:style>
  <w:style w:type="character" w:customStyle="1" w:styleId="CitationCar">
    <w:name w:val="Citation Car"/>
    <w:basedOn w:val="Policepardfaut"/>
    <w:link w:val="Citation"/>
    <w:uiPriority w:val="29"/>
    <w:qFormat/>
    <w:rsid w:val="00055BC9"/>
    <w:rPr>
      <w:i/>
      <w:iCs/>
      <w:color w:val="262626" w:themeColor="text1" w:themeTint="D9"/>
    </w:rPr>
  </w:style>
  <w:style w:type="character" w:customStyle="1" w:styleId="CitationintenseCar">
    <w:name w:val="Citation intense Car"/>
    <w:basedOn w:val="Policepardfaut"/>
    <w:link w:val="Citationintense"/>
    <w:uiPriority w:val="30"/>
    <w:qFormat/>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smallCaps/>
      <w:spacing w:val="7"/>
      <w:sz w:val="21"/>
      <w:szCs w:val="21"/>
    </w:rPr>
  </w:style>
  <w:style w:type="character" w:customStyle="1" w:styleId="TextedebullesCar">
    <w:name w:val="Texte de bulles Car"/>
    <w:basedOn w:val="Policepardfaut"/>
    <w:link w:val="Textedebulles"/>
    <w:uiPriority w:val="99"/>
    <w:semiHidden/>
    <w:qFormat/>
    <w:rsid w:val="00055BC9"/>
    <w:rPr>
      <w:rFonts w:ascii="Segoe UI" w:hAnsi="Segoe UI" w:cs="Segoe UI"/>
      <w:sz w:val="18"/>
      <w:szCs w:val="18"/>
    </w:rPr>
  </w:style>
  <w:style w:type="character" w:styleId="Marquedecommentaire">
    <w:name w:val="annotation reference"/>
    <w:semiHidden/>
    <w:qFormat/>
    <w:rsid w:val="009C3205"/>
    <w:rPr>
      <w:sz w:val="16"/>
      <w:szCs w:val="16"/>
    </w:rPr>
  </w:style>
  <w:style w:type="character" w:customStyle="1" w:styleId="CommentaireCar">
    <w:name w:val="Commentaire Car"/>
    <w:basedOn w:val="Policepardfaut"/>
    <w:link w:val="Commentaire"/>
    <w:semiHidden/>
    <w:qFormat/>
    <w:rsid w:val="009C3205"/>
    <w:rPr>
      <w:rFonts w:ascii="Times New Roman" w:eastAsia="Times New Roman" w:hAnsi="Times New Roman" w:cs="Times New Roman"/>
      <w:sz w:val="20"/>
      <w:szCs w:val="20"/>
      <w:lang w:eastAsia="fr-FR"/>
    </w:rPr>
  </w:style>
  <w:style w:type="character" w:styleId="Lienhypertexte">
    <w:name w:val="Hyperlink"/>
    <w:basedOn w:val="Policepardfaut"/>
    <w:uiPriority w:val="99"/>
    <w:unhideWhenUsed/>
    <w:rsid w:val="00C347F2"/>
    <w:rPr>
      <w:color w:val="58C1BA" w:themeColor="hyperlink"/>
      <w:u w:val="single"/>
    </w:rPr>
  </w:style>
  <w:style w:type="character" w:customStyle="1" w:styleId="ObjetducommentaireCar">
    <w:name w:val="Objet du commentaire Car"/>
    <w:basedOn w:val="CommentaireCar"/>
    <w:link w:val="Objetducommentaire"/>
    <w:uiPriority w:val="99"/>
    <w:semiHidden/>
    <w:qFormat/>
    <w:rsid w:val="00B9098A"/>
    <w:rPr>
      <w:rFonts w:ascii="Times New Roman" w:eastAsia="Times New Roman" w:hAnsi="Times New Roman" w:cs="Times New Roman"/>
      <w:b/>
      <w:bCs/>
      <w:sz w:val="20"/>
      <w:szCs w:val="20"/>
      <w:lang w:eastAsia="fr-FR"/>
    </w:rPr>
  </w:style>
  <w:style w:type="character" w:customStyle="1" w:styleId="NotedebasdepageCar">
    <w:name w:val="Note de bas de page Car"/>
    <w:basedOn w:val="Policepardfaut"/>
    <w:link w:val="Notedebasdepage"/>
    <w:semiHidden/>
    <w:qFormat/>
    <w:rsid w:val="00EA6B59"/>
    <w:rPr>
      <w:rFonts w:ascii="Times New Roman" w:eastAsia="Times New Roman" w:hAnsi="Times New Roman" w:cs="Times New Roman"/>
      <w:sz w:val="20"/>
      <w:szCs w:val="20"/>
      <w:lang w:eastAsia="fr-FR"/>
    </w:rPr>
  </w:style>
  <w:style w:type="character" w:customStyle="1" w:styleId="Caractresdenotedebasdepage">
    <w:name w:val="Caractères de note de bas de page"/>
    <w:qFormat/>
    <w:rsid w:val="00EA6B59"/>
    <w:rPr>
      <w:vertAlign w:val="superscript"/>
    </w:rPr>
  </w:style>
  <w:style w:type="character" w:styleId="Appelnotedebasdep">
    <w:name w:val="footnote reference"/>
    <w:rPr>
      <w:vertAlign w:val="superscript"/>
    </w:rPr>
  </w:style>
  <w:style w:type="character" w:customStyle="1" w:styleId="Corpsdetexte2Car">
    <w:name w:val="Corps de texte 2 Car"/>
    <w:basedOn w:val="Policepardfaut"/>
    <w:link w:val="Corpsdetexte2"/>
    <w:qFormat/>
    <w:rsid w:val="008B4492"/>
    <w:rPr>
      <w:rFonts w:ascii="Times New Roman" w:eastAsia="Times New Roman" w:hAnsi="Times New Roman" w:cs="Times New Roman"/>
      <w:sz w:val="22"/>
      <w:szCs w:val="22"/>
      <w:lang w:eastAsia="fr-FR"/>
    </w:rPr>
  </w:style>
  <w:style w:type="character" w:styleId="Textedelespacerserv">
    <w:name w:val="Placeholder Text"/>
    <w:basedOn w:val="Policepardfaut"/>
    <w:uiPriority w:val="99"/>
    <w:semiHidden/>
    <w:qFormat/>
    <w:rsid w:val="007A4173"/>
    <w:rPr>
      <w:color w:val="808080"/>
    </w:rPr>
  </w:style>
  <w:style w:type="character" w:customStyle="1" w:styleId="CorpsdetexteCar">
    <w:name w:val="Corps de texte Car"/>
    <w:basedOn w:val="Policepardfaut"/>
    <w:link w:val="Corpsdetexte"/>
    <w:uiPriority w:val="99"/>
    <w:semiHidden/>
    <w:qFormat/>
    <w:rsid w:val="00BC69E5"/>
  </w:style>
  <w:style w:type="character" w:customStyle="1" w:styleId="Corpsdetexte3Car">
    <w:name w:val="Corps de texte 3 Car"/>
    <w:basedOn w:val="Policepardfaut"/>
    <w:link w:val="Corpsdetexte3"/>
    <w:uiPriority w:val="99"/>
    <w:semiHidden/>
    <w:qFormat/>
    <w:rsid w:val="00BC69E5"/>
    <w:rPr>
      <w:sz w:val="16"/>
      <w:szCs w:val="16"/>
    </w:rPr>
  </w:style>
  <w:style w:type="character" w:customStyle="1" w:styleId="En-tteCar">
    <w:name w:val="En-tête Car"/>
    <w:basedOn w:val="Policepardfaut"/>
    <w:link w:val="En-tte"/>
    <w:uiPriority w:val="99"/>
    <w:qFormat/>
    <w:rsid w:val="00513CAC"/>
  </w:style>
  <w:style w:type="character" w:customStyle="1" w:styleId="PieddepageCar">
    <w:name w:val="Pied de page Car"/>
    <w:basedOn w:val="Policepardfaut"/>
    <w:link w:val="Pieddepage"/>
    <w:uiPriority w:val="99"/>
    <w:qFormat/>
    <w:rsid w:val="00513CAC"/>
  </w:style>
  <w:style w:type="paragraph" w:styleId="Titre">
    <w:name w:val="Title"/>
    <w:basedOn w:val="Normal"/>
    <w:next w:val="Corpsdetexte"/>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paragraph" w:styleId="Corpsdetexte">
    <w:name w:val="Body Text"/>
    <w:basedOn w:val="Normal"/>
    <w:link w:val="CorpsdetexteCar"/>
    <w:uiPriority w:val="99"/>
    <w:semiHidden/>
    <w:unhideWhenUsed/>
    <w:rsid w:val="00BC69E5"/>
    <w:pPr>
      <w:spacing w:after="120"/>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caption1">
    <w:name w:val="caption1"/>
    <w:basedOn w:val="Normal"/>
    <w:next w:val="Normal"/>
    <w:uiPriority w:val="35"/>
    <w:semiHidden/>
    <w:unhideWhenUsed/>
    <w:qFormat/>
    <w:rsid w:val="00055BC9"/>
    <w:pPr>
      <w:spacing w:line="240" w:lineRule="auto"/>
    </w:pPr>
    <w:rPr>
      <w:b/>
      <w:bCs/>
      <w:smallCaps/>
      <w:color w:val="595959" w:themeColor="text1" w:themeTint="A6"/>
    </w:rPr>
  </w:style>
  <w:style w:type="paragraph" w:styleId="Sous-titre">
    <w:name w:val="Subtitle"/>
    <w:basedOn w:val="Normal"/>
    <w:next w:val="Normal"/>
    <w:link w:val="Sous-titreCar"/>
    <w:uiPriority w:val="11"/>
    <w:qFormat/>
    <w:rsid w:val="00D73F5F"/>
    <w:pPr>
      <w:spacing w:line="240" w:lineRule="auto"/>
    </w:pPr>
    <w:rPr>
      <w:rFonts w:ascii="Marianne Light" w:eastAsiaTheme="majorEastAsia" w:hAnsi="Marianne Light" w:cstheme="majorBidi"/>
      <w:sz w:val="30"/>
      <w:szCs w:val="30"/>
    </w:rPr>
  </w:style>
  <w:style w:type="paragraph" w:styleId="Sansinterligne">
    <w:name w:val="No Spacing"/>
    <w:link w:val="SansinterligneCar"/>
    <w:uiPriority w:val="1"/>
    <w:qFormat/>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paragraph" w:styleId="Titreindex">
    <w:name w:val="index heading"/>
    <w:basedOn w:val="Titre"/>
  </w:style>
  <w:style w:type="paragraph" w:styleId="En-ttedetabledesmatires">
    <w:name w:val="TOC Heading"/>
    <w:basedOn w:val="Titre1"/>
    <w:next w:val="Normal"/>
    <w:uiPriority w:val="39"/>
    <w:unhideWhenUsed/>
    <w:qFormat/>
    <w:rsid w:val="00055BC9"/>
    <w:pPr>
      <w:numPr>
        <w:numId w:val="0"/>
      </w:numPr>
      <w:ind w:left="431" w:hanging="431"/>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qFormat/>
    <w:rsid w:val="00055BC9"/>
    <w:pPr>
      <w:spacing w:after="0" w:line="240" w:lineRule="auto"/>
    </w:pPr>
    <w:rPr>
      <w:rFonts w:ascii="Segoe UI" w:hAnsi="Segoe UI" w:cs="Segoe UI"/>
      <w:sz w:val="18"/>
      <w:szCs w:val="18"/>
    </w:rPr>
  </w:style>
  <w:style w:type="paragraph" w:styleId="Commentaire">
    <w:name w:val="annotation text"/>
    <w:basedOn w:val="Normal"/>
    <w:link w:val="CommentaireCar"/>
    <w:semiHidden/>
    <w:qFormat/>
    <w:rsid w:val="009C3205"/>
    <w:pPr>
      <w:spacing w:after="0" w:line="240" w:lineRule="auto"/>
      <w:ind w:left="454"/>
    </w:pPr>
    <w:rPr>
      <w:rFonts w:ascii="Times New Roman" w:eastAsia="Times New Roman" w:hAnsi="Times New Roman" w:cs="Times New Roman"/>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paragraph" w:styleId="Objetducommentaire">
    <w:name w:val="annotation subject"/>
    <w:basedOn w:val="Commentaire"/>
    <w:next w:val="Commentaire"/>
    <w:link w:val="ObjetducommentaireCar"/>
    <w:uiPriority w:val="99"/>
    <w:semiHidden/>
    <w:unhideWhenUsed/>
    <w:qFormat/>
    <w:rsid w:val="00B9098A"/>
    <w:pPr>
      <w:spacing w:after="200"/>
      <w:ind w:left="0"/>
    </w:pPr>
    <w:rPr>
      <w:rFonts w:asciiTheme="minorHAnsi" w:eastAsiaTheme="minorEastAsia" w:hAnsiTheme="minorHAnsi" w:cstheme="minorBidi"/>
      <w:b/>
      <w:bCs/>
      <w:lang w:eastAsia="en-US"/>
    </w:rPr>
  </w:style>
  <w:style w:type="paragraph" w:styleId="Notedebasdepage">
    <w:name w:val="footnote text"/>
    <w:basedOn w:val="Normal"/>
    <w:link w:val="NotedebasdepageCar"/>
    <w:semiHidden/>
    <w:rsid w:val="00EA6B59"/>
    <w:pPr>
      <w:spacing w:after="0" w:line="240" w:lineRule="auto"/>
    </w:pPr>
    <w:rPr>
      <w:rFonts w:ascii="Times New Roman" w:eastAsia="Times New Roman" w:hAnsi="Times New Roman" w:cs="Times New Roman"/>
      <w:szCs w:val="20"/>
      <w:lang w:eastAsia="fr-FR"/>
    </w:rPr>
  </w:style>
  <w:style w:type="paragraph" w:styleId="Corpsdetexte2">
    <w:name w:val="Body Text 2"/>
    <w:basedOn w:val="Normal"/>
    <w:link w:val="Corpsdetexte2Car"/>
    <w:unhideWhenUsed/>
    <w:qFormat/>
    <w:rsid w:val="008B4492"/>
    <w:pPr>
      <w:spacing w:after="120" w:line="480" w:lineRule="auto"/>
      <w:ind w:left="454"/>
    </w:pPr>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paragraph" w:styleId="Corpsdetexte3">
    <w:name w:val="Body Text 3"/>
    <w:basedOn w:val="Normal"/>
    <w:link w:val="Corpsdetexte3Car"/>
    <w:uiPriority w:val="99"/>
    <w:semiHidden/>
    <w:unhideWhenUsed/>
    <w:qFormat/>
    <w:rsid w:val="00BC69E5"/>
    <w:pPr>
      <w:spacing w:after="120"/>
    </w:pPr>
    <w:rPr>
      <w:sz w:val="16"/>
      <w:szCs w:val="16"/>
    </w:rPr>
  </w:style>
  <w:style w:type="paragraph" w:customStyle="1" w:styleId="En-tteetpieddepage">
    <w:name w:val="En-tête et pied de page"/>
    <w:basedOn w:val="Normal"/>
    <w:qFormat/>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paragraph" w:customStyle="1" w:styleId="retrait2">
    <w:name w:val="retrait2"/>
    <w:basedOn w:val="Normal"/>
    <w:semiHidden/>
    <w:qFormat/>
    <w:rsid w:val="00A62094"/>
    <w:pPr>
      <w:keepLines/>
      <w:numPr>
        <w:numId w:val="2"/>
      </w:numPr>
      <w:spacing w:after="0" w:line="240" w:lineRule="auto"/>
    </w:pPr>
    <w:rPr>
      <w:rFonts w:ascii="Times New Roman" w:eastAsia="Times New Roman" w:hAnsi="Times New Roman" w:cs="Times New Roman"/>
      <w:sz w:val="22"/>
      <w:szCs w:val="20"/>
      <w:lang w:eastAsia="fr-FR"/>
    </w:rPr>
  </w:style>
  <w:style w:type="paragraph" w:customStyle="1" w:styleId="Contenudecadre">
    <w:name w:val="Contenu de cadre"/>
    <w:basedOn w:val="Normal"/>
    <w:qFormat/>
  </w:style>
  <w:style w:type="table" w:styleId="Grilledutableau">
    <w:name w:val="Table Grid"/>
    <w:basedOn w:val="TableauNormal"/>
    <w:uiPriority w:val="59"/>
    <w:rsid w:val="007C53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styleId="TableauListe2-Accentuation4">
    <w:name w:val="List Table 2 Accent 4"/>
    <w:basedOn w:val="TableauNormal"/>
    <w:uiPriority w:val="47"/>
    <w:rsid w:val="00F31FBC"/>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026995">
      <w:bodyDiv w:val="1"/>
      <w:marLeft w:val="0"/>
      <w:marRight w:val="0"/>
      <w:marTop w:val="0"/>
      <w:marBottom w:val="0"/>
      <w:divBdr>
        <w:top w:val="none" w:sz="0" w:space="0" w:color="auto"/>
        <w:left w:val="none" w:sz="0" w:space="0" w:color="auto"/>
        <w:bottom w:val="none" w:sz="0" w:space="0" w:color="auto"/>
        <w:right w:val="none" w:sz="0" w:space="0" w:color="auto"/>
      </w:divBdr>
    </w:div>
    <w:div w:id="1263370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Ion">
  <a:themeElements>
    <a:clrScheme name="Ion">
      <a:dk1>
        <a:srgbClr val="000000"/>
      </a:dk1>
      <a:lt1>
        <a:srgbClr val="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majorFont>
      <a:minorFont>
        <a:latin typeface="Century Gothic" panose="020B0502020202020204"/>
        <a:ea typeface=""/>
        <a:cs typeface=""/>
      </a:minorFont>
    </a:fontScheme>
    <a:fmtScheme>
      <a:fillStyleLst>
        <a:solidFill>
          <a:schemeClr val="phClr"/>
        </a:solidFill>
        <a:gradFill>
          <a:gsLst>
            <a:gs pos="0">
              <a:schemeClr val="phClr">
                <a:tint val="64000"/>
                <a:lumMod val="118000"/>
              </a:schemeClr>
            </a:gs>
            <a:gs pos="100000">
              <a:schemeClr val="phClr">
                <a:tint val="92000"/>
                <a:lumMod val="110000"/>
              </a:schemeClr>
            </a:gs>
          </a:gsLst>
          <a:lin ang="5400000" scaled="0"/>
          <a:tileRect/>
        </a:gradFill>
        <a:gradFill>
          <a:gsLst>
            <a:gs pos="0">
              <a:schemeClr val="phClr">
                <a:tint val="98000"/>
                <a:lumMod val="114000"/>
              </a:schemeClr>
            </a:gs>
            <a:gs pos="100000">
              <a:schemeClr val="phClr">
                <a:shade val="90000"/>
                <a:lumMod val="84000"/>
              </a:schemeClr>
            </a:gs>
          </a:gsLst>
          <a:lin ang="5400000" scaled="0"/>
          <a:tileRect/>
        </a:gradFill>
      </a:fillStyleLst>
      <a:lnStyleLst>
        <a:ln w="9525" cap="rnd" cmpd="sng" algn="ctr">
          <a:prstDash val="solid"/>
        </a:ln>
        <a:ln w="19050" cap="rnd" cmpd="sng" algn="ctr">
          <a:prstDash val="solid"/>
        </a:ln>
        <a:ln w="28575" cap="rnd"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97000"/>
                <a:lumMod val="124000"/>
              </a:schemeClr>
            </a:gs>
            <a:gs pos="100000">
              <a:schemeClr val="phClr">
                <a:tint val="96000"/>
                <a:shade val="88000"/>
                <a:lumMod val="76000"/>
              </a:schemeClr>
            </a:gs>
          </a:gsLst>
          <a:path path="circle">
            <a:fillToRect l="45000" t="65000" r="125000" b="100000"/>
          </a:path>
          <a:tileRect/>
        </a:gradFill>
        <a:blipFill rotWithShape="1">
          <a:srcRect/>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7DEE4F9C430B4A8D9BFD9699D85EC9" ma:contentTypeVersion="1" ma:contentTypeDescription="Crée un document." ma:contentTypeScope="" ma:versionID="15750406dd865cd48a86513f0bf67901">
  <xsd:schema xmlns:xsd="http://www.w3.org/2001/XMLSchema" xmlns:xs="http://www.w3.org/2001/XMLSchema" xmlns:p="http://schemas.microsoft.com/office/2006/metadata/properties" xmlns:ns2="6f1cadfb-22eb-46d0-8421-1085e34b15e1" targetNamespace="http://schemas.microsoft.com/office/2006/metadata/properties" ma:root="true" ma:fieldsID="b32f48582d70f9605da62081480e9fa0" ns2:_="">
    <xsd:import namespace="6f1cadfb-22eb-46d0-8421-1085e34b15e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cadfb-22eb-46d0-8421-1085e34b15e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22A6F5-2555-4616-B2AB-FC46F1E18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cadfb-22eb-46d0-8421-1085e34b1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C9FD9-3590-4974-9602-E1D68F80151B}">
  <ds:schemaRefs>
    <ds:schemaRef ds:uri="http://schemas.microsoft.com/sharepoint/v3/contenttype/forms"/>
  </ds:schemaRefs>
</ds:datastoreItem>
</file>

<file path=customXml/itemProps4.xml><?xml version="1.0" encoding="utf-8"?>
<ds:datastoreItem xmlns:ds="http://schemas.openxmlformats.org/officeDocument/2006/customXml" ds:itemID="{753711FB-4500-4427-956C-5F58D9A28FC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E3639C1-E734-48A7-B594-3EC5D479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889</Words>
  <Characters>4891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dc:description/>
  <cp:lastModifiedBy>BARBIER Alexandre ADJT ADM AE</cp:lastModifiedBy>
  <cp:revision>9</cp:revision>
  <dcterms:created xsi:type="dcterms:W3CDTF">2025-03-13T07:41:00Z</dcterms:created>
  <dcterms:modified xsi:type="dcterms:W3CDTF">2025-12-17T10:26:00Z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0x010100427DEE4F9C430B4A8D9BFD9699D85EC9</vt:lpwstr>
  </property>
</Properties>
</file>